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left"/>
      </w:pPr>
      <w:r>
        <w:t>TERMO DE REFERÊNCIA — REV. 0C (MINUTA LIMPA — HEC-RAS 1D)</w:t>
      </w:r>
    </w:p>
    <w:p>
      <w:r>
        <w:rPr>
          <w:b/>
        </w:rPr>
        <w:t>Estudo Integrado de Mapeamento, Análise de Riscos e Diretrizes para Redução e Mitigação de Riscos à Inundação em Estrela/RS</w:t>
      </w:r>
    </w:p>
    <w:p>
      <w:r>
        <w:t>Programa EUROCLIMA+ · Agência Espanhola de Cooperação Internacional para o Desenvolvimento (AECID)</w:t>
      </w:r>
    </w:p>
    <w:p>
      <w:r>
        <w:t>Ministério da Integração e do Desenvolvimento Regional — Secretaria Nacional de Proteção e Defesa Civil (MIDR/SEDEC)</w:t>
      </w:r>
    </w:p>
    <w:p/>
    <w:p/>
    <w:p>
      <w:pPr>
        <w:pStyle w:val="Heading2"/>
        <w:jc w:val="left"/>
      </w:pPr>
      <w:r>
        <w:rPr>
          <w:rFonts w:ascii="Calibri" w:hAnsi="Calibri"/>
          <w:color w:val="1F5C8B"/>
        </w:rPr>
        <w:t>1. APRESENTAÇÃO</w:t>
      </w:r>
    </w:p>
    <w:p>
      <w:r>
        <w:t>O presente Termo de Referência (TR) estabelece as diretrizes para a implementação do Componente 1 da iniciativa de cooperação técnica internacional no âmbito do programa EUROCLIMA+, resultado de parceria entre o Ministério da Integração e do Desenvolvimento Regional, por meio da Secretaria Nacional de Proteção e Defesa Civil (MIDR/SEDEC), o Ministério do Desenvolvimento, Indústria, Comércio e Serviços (MDIC) e a Agência Espanhola de Cooperação Internacional para o Desenvolvimento (AECID).</w:t>
      </w:r>
    </w:p>
    <w:p>
      <w:r>
        <w:t xml:space="preserve">A iniciativa, intitulada </w:t>
      </w:r>
      <w:r>
        <w:rPr>
          <w:i/>
        </w:rPr>
        <w:t>"Apoio às políticas de resiliência e adaptação às mudanças climáticas para reduzir os riscos de desastres no Rio Grande do Sul"</w:t>
      </w:r>
      <w:r>
        <w:t>, tem como objetivos centrais o fortalecimento da resiliência local, a adaptação às mudanças climáticas e a facilitação do acesso a financiamentos climáticos.</w:t>
      </w:r>
    </w:p>
    <w:p>
      <w:r>
        <w:t>Estruturado em conformidade com as exigências da Lei nº 14.133/2021 e os padrões de governança do programa EUROCLIMA+, este documento define o objeto, a fundamentação estratégica e a natureza técnica dos serviços, bem como os requisitos de qualificação, o modelo de execução e os protocolos de gestão, fiscalização e aceitação de produtos.</w:t>
      </w:r>
    </w:p>
    <w:p>
      <w:pPr>
        <w:pStyle w:val="Heading3"/>
        <w:jc w:val="left"/>
      </w:pPr>
      <w:r>
        <w:rPr>
          <w:rFonts w:ascii="Calibri" w:hAnsi="Calibri"/>
          <w:color w:val="1F5C8B"/>
        </w:rPr>
        <w:t>1.1 Inserção no arranjo institucional do programa</w:t>
      </w:r>
    </w:p>
    <w:p>
      <w:r>
        <w:t>A ação do EUROCLIMA+ no Rio Grande do Sul é executada por três frentes complementares, com agências implementadoras distintas. A delimitação abaixo é vinculante para a empresa contratada, que deverá interagir com as demais frentes sem sobreposição de escopo: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val="clear" w:fill="1F5C8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Frente</w:t>
            </w:r>
          </w:p>
        </w:tc>
        <w:tc>
          <w:tcPr>
            <w:tcW w:type="dxa" w:w="2351"/>
            <w:shd w:val="clear" w:fill="1F5C8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Agência / Executor</w:t>
            </w:r>
          </w:p>
        </w:tc>
        <w:tc>
          <w:tcPr>
            <w:tcW w:type="dxa" w:w="2351"/>
            <w:shd w:val="clear" w:fill="1F5C8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Orçamento</w:t>
            </w:r>
          </w:p>
        </w:tc>
        <w:tc>
          <w:tcPr>
            <w:tcW w:type="dxa" w:w="2351"/>
            <w:shd w:val="clear" w:fill="1F5C8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Foco</w:t>
            </w:r>
          </w:p>
        </w:tc>
      </w:tr>
      <w:tr>
        <w:tc>
          <w:tcPr>
            <w:tcW w:type="dxa" w:w="2351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Governança climática</w:t>
            </w:r>
          </w:p>
        </w:tc>
        <w:tc>
          <w:tcPr>
            <w:tcW w:type="dxa" w:w="2351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Expertise France — executado por Haskoning (NL)</w:t>
            </w:r>
          </w:p>
        </w:tc>
        <w:tc>
          <w:tcPr>
            <w:tcW w:type="dxa" w:w="2351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€ 250.000</w:t>
            </w:r>
          </w:p>
        </w:tc>
        <w:tc>
          <w:tcPr>
            <w:tcW w:type="dxa" w:w="2351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Arranjos de governança, capacidade institucional, cadastro de municípios</w:t>
            </w:r>
          </w:p>
        </w:tc>
      </w:tr>
      <w:tr>
        <w:tc>
          <w:tcPr>
            <w:tcW w:type="dxa" w:w="2351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Financiamento climático</w:t>
            </w:r>
          </w:p>
        </w:tc>
        <w:tc>
          <w:tcPr>
            <w:tcW w:type="dxa" w:w="2351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FIIAPP — executado por Eco Ltd Group (UK)</w:t>
            </w:r>
          </w:p>
        </w:tc>
        <w:tc>
          <w:tcPr>
            <w:tcW w:type="dxa" w:w="2351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€ 200.000</w:t>
            </w:r>
          </w:p>
        </w:tc>
        <w:tc>
          <w:tcPr>
            <w:tcW w:type="dxa" w:w="2351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Acesso a financiamento climático, estruturação de projetos financiáveis</w:t>
            </w:r>
          </w:p>
        </w:tc>
      </w:tr>
      <w:tr>
        <w:tc>
          <w:tcPr>
            <w:tcW w:type="dxa" w:w="2351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Estudo técnico integrado</w:t>
            </w:r>
            <w:r>
              <w:rPr>
                <w:sz w:val="18"/>
              </w:rPr>
              <w:t xml:space="preserve"> </w:t>
            </w:r>
            <w:r>
              <w:rPr>
                <w:i/>
                <w:sz w:val="18"/>
              </w:rPr>
              <w:t>(objeto deste TR)</w:t>
            </w:r>
          </w:p>
        </w:tc>
        <w:tc>
          <w:tcPr>
            <w:tcW w:type="dxa" w:w="2351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AECID / SEDEC</w:t>
            </w:r>
          </w:p>
        </w:tc>
        <w:tc>
          <w:tcPr>
            <w:tcW w:type="dxa" w:w="2351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€ 300.000</w:t>
            </w:r>
          </w:p>
        </w:tc>
        <w:tc>
          <w:tcPr>
            <w:tcW w:type="dxa" w:w="2351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Mapeamento, modelagem hidrodinâmica e análise de alternativas em Estrela/RS</w:t>
            </w:r>
          </w:p>
        </w:tc>
      </w:tr>
    </w:tbl>
    <w:p/>
    <w:p>
      <w:r>
        <w:rPr>
          <w:b/>
        </w:rPr>
        <w:t>Interfaces obrigatórias:</w:t>
      </w:r>
      <w:r>
        <w:t xml:space="preserve"> os produtos deste contrato — em particular a análise custo-benefício (Eixo 3) e o Guia de Diretrizes (Eixo 5) — constituem insumo direto para a frente de financiamento climático. A CONTRATADA deverá participar de, no mínimo, </w:t>
      </w:r>
      <w:r>
        <w:rPr>
          <w:b/>
        </w:rPr>
        <w:t>três reuniões de articulação</w:t>
      </w:r>
      <w:r>
        <w:t xml:space="preserve"> com as demais frentes ao longo da execução. </w:t>
      </w:r>
      <w:r>
        <w:rPr>
          <w:b/>
        </w:rPr>
        <w:t>[CONFIRMAR: número de reuniões e responsável pela convocação]</w:t>
      </w:r>
    </w:p>
    <w:p>
      <w:pPr>
        <w:pStyle w:val="Heading2"/>
        <w:jc w:val="left"/>
      </w:pPr>
      <w:r>
        <w:rPr>
          <w:rFonts w:ascii="Calibri" w:hAnsi="Calibri"/>
          <w:color w:val="1F5C8B"/>
        </w:rPr>
        <w:t>2. CONTEXTO E JUSTIFICATIVA</w:t>
      </w:r>
    </w:p>
    <w:p>
      <w:r>
        <w:t xml:space="preserve">O programa regional europeu EUROCLIMA+ está inserido na estratégia </w:t>
      </w:r>
      <w:r>
        <w:rPr>
          <w:i/>
        </w:rPr>
        <w:t>Global Gateway</w:t>
      </w:r>
      <w:r>
        <w:t xml:space="preserve"> da União Europeia, que visa combater as mudanças climáticas e a perda da biodiversidade por meio da construção de infraestruturas resilientes, sustentáveis e digitais. No âmbito deste Componente 1, o foco reside no apoio a políticas de resiliência e adaptação para reduzir riscos de desastres no Rio Grande do Sul, utilizando o município de Estrela/RS como unidade piloto replicável.</w:t>
      </w:r>
    </w:p>
    <w:p>
      <w:r>
        <w:t>A aplicação deste projeto é de extrema relevância dado que a região foi severamente afetada por eventos hidrológicos extremos recentes (2023, 2024 e 2025). A iniciativa justifica-se pelos seguintes pilares:</w:t>
      </w:r>
    </w:p>
    <w:p>
      <w:pPr>
        <w:pStyle w:val="ListBullet"/>
      </w:pPr>
      <w:r>
        <w:rPr>
          <w:b/>
        </w:rPr>
        <w:t>Mitigação de impactos e salvaguarda de vidas</w:t>
      </w:r>
      <w:r>
        <w:t xml:space="preserve"> — redução de danos socioeconômicos e perdas humanas por meio de medidas estruturantes.</w:t>
      </w:r>
    </w:p>
    <w:p>
      <w:pPr>
        <w:pStyle w:val="ListBullet"/>
      </w:pPr>
      <w:r>
        <w:rPr>
          <w:b/>
        </w:rPr>
        <w:t>Adaptação estratégica à emergência climática</w:t>
      </w:r>
      <w:r>
        <w:t xml:space="preserve"> — integração de projeções de não-estacionariedade e mudanças climáticas aos modelos de gestão de risco.</w:t>
      </w:r>
    </w:p>
    <w:p>
      <w:pPr>
        <w:pStyle w:val="ListBullet"/>
      </w:pPr>
      <w:r>
        <w:rPr>
          <w:b/>
        </w:rPr>
        <w:t>Rompimento de paradigma (*Build Back Better*)</w:t>
      </w:r>
      <w:r>
        <w:t xml:space="preserve"> — transição de uma lógica de recuperação reativa para a prevenção proativa.</w:t>
      </w:r>
    </w:p>
    <w:p>
      <w:pPr>
        <w:pStyle w:val="ListBullet"/>
      </w:pPr>
      <w:r>
        <w:rPr>
          <w:b/>
        </w:rPr>
        <w:t>Acesso a investimentos</w:t>
      </w:r>
      <w:r>
        <w:t xml:space="preserve"> — o estudo das necessidades de investimento atua como catalisador para captação de recursos para obras e ações de prevenção.</w:t>
      </w:r>
    </w:p>
    <w:p>
      <w:pPr>
        <w:pStyle w:val="ListBullet"/>
      </w:pPr>
      <w:r>
        <w:rPr>
          <w:b/>
        </w:rPr>
        <w:t>Interoperabilidade e cooperação</w:t>
      </w:r>
      <w:r>
        <w:t xml:space="preserve"> — intercâmbio de conhecimentos internacionais e articulação interfederativa.</w:t>
      </w:r>
    </w:p>
    <w:p>
      <w:pPr>
        <w:pStyle w:val="Heading3"/>
        <w:jc w:val="left"/>
      </w:pPr>
      <w:r>
        <w:rPr>
          <w:rFonts w:ascii="Calibri" w:hAnsi="Calibri"/>
          <w:color w:val="1F5C8B"/>
        </w:rPr>
        <w:t>2.1 Achados preliminares que condicionam o escopo</w:t>
      </w:r>
    </w:p>
    <w:p>
      <w:r>
        <w:t>A SEDEC realizou análise exploratória de triagem (Nota Técnica Preliminar, ANEXO VII) sobre o potencial de barragens de amortecimento a montante de Estrela, utilizando modelo digital de elevação de 28,6 m, grade de direções de fluxo D8 e a Base Hidrográfica Ottocodificada da ANA. Os resultados condicionam o escopo desta contratação:</w:t>
      </w:r>
    </w:p>
    <w:p>
      <w:pPr>
        <w:pStyle w:val="ListNumber"/>
      </w:pPr>
      <w:r>
        <w:t xml:space="preserve">Um eixo situado a jusante da confluência principal controla </w:t>
      </w:r>
      <w:r>
        <w:rPr>
          <w:b/>
        </w:rPr>
        <w:t>15.760 km²</w:t>
      </w:r>
      <w:r>
        <w:t xml:space="preserve">, equivalentes a </w:t>
      </w:r>
      <w:r>
        <w:rPr>
          <w:b/>
        </w:rPr>
        <w:t>81,1%</w:t>
      </w:r>
      <w:r>
        <w:t xml:space="preserve"> dos 19.440 km² de área de drenagem em Estrela. Os </w:t>
      </w:r>
      <w:r>
        <w:rPr>
          <w:b/>
        </w:rPr>
        <w:t>18,9% não controlados</w:t>
      </w:r>
      <w:r>
        <w:t xml:space="preserve"> produzem, sozinhos, pico residual da ordem de 3.400 m³/s — </w:t>
      </w:r>
      <w:r>
        <w:rPr>
          <w:b/>
        </w:rPr>
        <w:t>piso físico</w:t>
      </w:r>
      <w:r>
        <w:t xml:space="preserve"> de qualquer arranjo de barragens.</w:t>
      </w:r>
    </w:p>
    <w:p>
      <w:pPr>
        <w:pStyle w:val="ListNumber"/>
      </w:pPr>
      <w:r>
        <w:t xml:space="preserve">O volume escoado no evento de referência (≈ 5.050 hm³) é </w:t>
      </w:r>
      <w:r>
        <w:rPr>
          <w:b/>
        </w:rPr>
        <w:t>2 a 10 vezes superior</w:t>
      </w:r>
      <w:r>
        <w:t xml:space="preserve"> ao volume armazenável nos eixos identificados. Arranjos convencionais, com vertedouro de soleira livre, produzem redução de pico entre </w:t>
      </w:r>
      <w:r>
        <w:rPr>
          <w:b/>
        </w:rPr>
        <w:t>0% e 16%</w:t>
      </w:r>
      <w:r>
        <w:t>, com saturação do reservatório durante o evento.</w:t>
      </w:r>
    </w:p>
    <w:p>
      <w:pPr>
        <w:pStyle w:val="ListNumber"/>
      </w:pPr>
      <w:r>
        <w:t xml:space="preserve">Apenas o arranjo de </w:t>
      </w:r>
      <w:r>
        <w:rPr>
          <w:b/>
        </w:rPr>
        <w:t>barragem seca (*dry dam*) de grande porte</w:t>
      </w:r>
      <w:r>
        <w:t xml:space="preserve"> — 80 m de altura, ≈ 2.070 hm³ de volume dedicado, 62 km² de área inundável — produz redução significativa (</w:t>
      </w:r>
      <w:r>
        <w:rPr>
          <w:b/>
        </w:rPr>
        <w:t>≈ 54%</w:t>
      </w:r>
      <w:r>
        <w:t>), ainda assim insuficiente para eliminar os danos.</w:t>
      </w:r>
    </w:p>
    <w:p>
      <w:r>
        <w:rPr>
          <w:b/>
        </w:rPr>
        <w:t>Consequência normativa para este TR:</w:t>
      </w:r>
      <w:r>
        <w:t xml:space="preserve"> o Eixo 3 é definido como </w:t>
      </w:r>
      <w:r>
        <w:rPr>
          <w:b/>
        </w:rPr>
        <w:t>análise comparativa de alternativas híbridas</w:t>
      </w:r>
      <w:r>
        <w:t xml:space="preserve">, e não como projeto de barragens. A CONTRATADA está obrigada a avaliar barragens </w:t>
      </w:r>
      <w:r>
        <w:rPr>
          <w:b/>
        </w:rPr>
        <w:t>em conjunto com</w:t>
      </w:r>
      <w:r>
        <w:t xml:space="preserve"> diques, realocação, controle de uso e ocupação do solo, soluções baseadas na natureza e medidas não estruturais, arbitrando entre elas por análise custo-benefício.</w:t>
      </w:r>
    </w:p>
    <w:p>
      <w:pPr>
        <w:pStyle w:val="Heading2"/>
        <w:jc w:val="left"/>
      </w:pPr>
      <w:r>
        <w:rPr>
          <w:rFonts w:ascii="Calibri" w:hAnsi="Calibri"/>
          <w:color w:val="1F5C8B"/>
        </w:rPr>
        <w:t>3. OBJETO</w:t>
      </w:r>
    </w:p>
    <w:p>
      <w:r>
        <w:t xml:space="preserve">Contratação de serviços especializados de consultoria e engenharia para a execução de </w:t>
      </w:r>
      <w:r>
        <w:rPr>
          <w:b/>
        </w:rPr>
        <w:t>mapeamento de riscos, modelagem hidrológica e hidrodinâmica e análise técnica e econômica de alternativas integradas de mitigação</w:t>
      </w:r>
      <w:r>
        <w:t>, visando a seleção de estratégias de infraestrutura resiliente e a salvaguarda de vidas, fundamentadas em critérios de custo-benefício e adaptabilidade climática, tendo Estrela/RS como unidade piloto replicável.</w:t>
      </w:r>
    </w:p>
    <w:p>
      <w:pPr>
        <w:pStyle w:val="Heading2"/>
        <w:jc w:val="left"/>
      </w:pPr>
      <w:r>
        <w:rPr>
          <w:rFonts w:ascii="Calibri" w:hAnsi="Calibri"/>
          <w:color w:val="1F5C8B"/>
        </w:rPr>
        <w:t>4. ESPECIFICAÇÕES DO OBJETO</w:t>
      </w:r>
    </w:p>
    <w:p>
      <w:pPr>
        <w:pStyle w:val="Heading3"/>
        <w:jc w:val="left"/>
      </w:pPr>
      <w:r>
        <w:rPr>
          <w:rFonts w:ascii="Calibri" w:hAnsi="Calibri"/>
          <w:color w:val="1F5C8B"/>
        </w:rPr>
        <w:t>4.1 Localização e área de estudo</w:t>
      </w:r>
    </w:p>
    <w:p>
      <w:r>
        <w:t>O município piloto do estudo é Estrela, localizado na região central do Rio Grande do Sul, no Vale do Taquari, delimitado e profundamente influenciado pelo rio Taquari, com topografia caracterizada por amplas planícies de inundação e terraços aluviais.</w:t>
      </w:r>
    </w:p>
    <w:p>
      <w:r>
        <w:t>O município é seccionado pela rodovia BR-386. A resiliência das travessias sobre o Rio Taquari e seus afluentes, como o Arroio Boa Vista, é vital para evitar o isolamento da região durante ciclos de cheias. O regime hidrológico local é marcado pela rapidez de resposta da bacia do Taquari-Antas, resultando em cheias bruscas e severas, como as registradas em 2023 e 2024, que atingiram cotas históricas e superaram as manchas de inundação anteriormente mapeadas. Bairros como Moinhos, Indústrias e Centro possuem zonas urbanas consolidadas em cotas baixas.</w:t>
      </w:r>
    </w:p>
    <w:p>
      <w:pPr>
        <w:pStyle w:val="Heading3"/>
        <w:jc w:val="left"/>
      </w:pPr>
      <w:r>
        <w:rPr>
          <w:rFonts w:ascii="Calibri" w:hAnsi="Calibri"/>
          <w:color w:val="1F5C8B"/>
        </w:rPr>
        <w:t>4.2 Delimitação quantitativa da área de estudo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val="clear" w:fill="1F5C8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Elemento</w:t>
            </w:r>
          </w:p>
        </w:tc>
        <w:tc>
          <w:tcPr>
            <w:tcW w:type="dxa" w:w="3135"/>
            <w:shd w:val="clear" w:fill="1F5C8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Valor</w:t>
            </w:r>
          </w:p>
        </w:tc>
        <w:tc>
          <w:tcPr>
            <w:tcW w:type="dxa" w:w="3135"/>
            <w:shd w:val="clear" w:fill="1F5C8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Fonte</w:t>
            </w:r>
          </w:p>
        </w:tc>
      </w:tr>
      <w:tr>
        <w:tc>
          <w:tcPr>
            <w:tcW w:type="dxa" w:w="3135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Área de drenagem no limite de montante do trecho modelado</w:t>
            </w:r>
          </w:p>
        </w:tc>
        <w:tc>
          <w:tcPr>
            <w:tcW w:type="dxa" w:w="3135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19.440 km²</w:t>
            </w:r>
          </w:p>
        </w:tc>
        <w:tc>
          <w:tcPr>
            <w:tcW w:type="dxa" w:w="3135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 xml:space="preserve">delineação D8 sobre </w:t>
            </w:r>
            <w:r>
              <w:rPr>
                <w:rFonts w:ascii="Consolas" w:hAnsi="Consolas"/>
                <w:sz w:val="18"/>
              </w:rPr>
              <w:t>Fdr.tif</w:t>
            </w:r>
          </w:p>
        </w:tc>
      </w:tr>
      <w:tr>
        <w:tc>
          <w:tcPr>
            <w:tcW w:type="dxa" w:w="3135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Área de drenagem no limite de jusante</w:t>
            </w:r>
          </w:p>
        </w:tc>
        <w:tc>
          <w:tcPr>
            <w:tcW w:type="dxa" w:w="3135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23.699 km²</w:t>
            </w:r>
          </w:p>
        </w:tc>
        <w:tc>
          <w:tcPr>
            <w:tcW w:type="dxa" w:w="3135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idem</w:t>
            </w:r>
          </w:p>
        </w:tc>
      </w:tr>
      <w:tr>
        <w:tc>
          <w:tcPr>
            <w:tcW w:type="dxa" w:w="3135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Bacia hidrográfica Taquari-Antas (total)</w:t>
            </w:r>
          </w:p>
        </w:tc>
        <w:tc>
          <w:tcPr>
            <w:tcW w:type="dxa" w:w="3135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23.618 km²</w:t>
            </w:r>
          </w:p>
        </w:tc>
        <w:tc>
          <w:tcPr>
            <w:tcW w:type="dxa" w:w="3135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idem</w:t>
            </w:r>
          </w:p>
        </w:tc>
      </w:tr>
      <w:tr>
        <w:tc>
          <w:tcPr>
            <w:tcW w:type="dxa" w:w="3135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Extensão do trecho de modelagem hidráulica</w:t>
            </w:r>
          </w:p>
        </w:tc>
        <w:tc>
          <w:tcPr>
            <w:tcW w:type="dxa" w:w="3135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51,7 km</w:t>
            </w:r>
          </w:p>
        </w:tc>
        <w:tc>
          <w:tcPr>
            <w:tcW w:type="dxa" w:w="3135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onsolas" w:hAnsi="Consolas"/>
                <w:sz w:val="18"/>
              </w:rPr>
              <w:t>Trecho Modelagem.shp</w:t>
            </w:r>
          </w:p>
        </w:tc>
      </w:tr>
      <w:tr>
        <w:tc>
          <w:tcPr>
            <w:tcW w:type="dxa" w:w="3135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Extensão do sub-trecho de refinamento</w:t>
            </w:r>
          </w:p>
        </w:tc>
        <w:tc>
          <w:tcPr>
            <w:tcW w:type="dxa" w:w="3135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35,9 km</w:t>
            </w:r>
          </w:p>
        </w:tc>
        <w:tc>
          <w:tcPr>
            <w:tcW w:type="dxa" w:w="3135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onsolas" w:hAnsi="Consolas"/>
                <w:sz w:val="18"/>
              </w:rPr>
              <w:t>Refinamento.shp</w:t>
            </w:r>
          </w:p>
        </w:tc>
      </w:tr>
      <w:tr>
        <w:tc>
          <w:tcPr>
            <w:tcW w:type="dxa" w:w="3135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Área do polígono de levantamento topográfico</w:t>
            </w:r>
          </w:p>
        </w:tc>
        <w:tc>
          <w:tcPr>
            <w:tcW w:type="dxa" w:w="3135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139,4 km²</w:t>
            </w:r>
          </w:p>
        </w:tc>
        <w:tc>
          <w:tcPr>
            <w:tcW w:type="dxa" w:w="3135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onsolas" w:hAnsi="Consolas"/>
                <w:sz w:val="18"/>
              </w:rPr>
              <w:t>Levantamento_Topografico.shp</w:t>
            </w:r>
          </w:p>
        </w:tc>
      </w:tr>
      <w:tr>
        <w:tc>
          <w:tcPr>
            <w:tcW w:type="dxa" w:w="3135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Área do município de Estrela</w:t>
            </w:r>
          </w:p>
        </w:tc>
        <w:tc>
          <w:tcPr>
            <w:tcW w:type="dxa" w:w="3135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184,9 km²</w:t>
            </w:r>
          </w:p>
        </w:tc>
        <w:tc>
          <w:tcPr>
            <w:tcW w:type="dxa" w:w="3135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IBGE</w:t>
            </w:r>
          </w:p>
        </w:tc>
      </w:tr>
      <w:tr>
        <w:tc>
          <w:tcPr>
            <w:tcW w:type="dxa" w:w="3135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Sub-bacia do Rio Forqueta</w:t>
            </w:r>
          </w:p>
        </w:tc>
        <w:tc>
          <w:tcPr>
            <w:tcW w:type="dxa" w:w="3135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2.845 km²</w:t>
            </w:r>
          </w:p>
        </w:tc>
        <w:tc>
          <w:tcPr>
            <w:tcW w:type="dxa" w:w="3135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delineação D8</w:t>
            </w:r>
          </w:p>
        </w:tc>
      </w:tr>
      <w:tr>
        <w:tc>
          <w:tcPr>
            <w:tcW w:type="dxa" w:w="3135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Sub-bacia do Arroio Boa Vista</w:t>
            </w:r>
          </w:p>
        </w:tc>
        <w:tc>
          <w:tcPr>
            <w:tcW w:type="dxa" w:w="3135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576 km²</w:t>
            </w:r>
          </w:p>
        </w:tc>
        <w:tc>
          <w:tcPr>
            <w:tcW w:type="dxa" w:w="3135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delineação D8</w:t>
            </w:r>
          </w:p>
        </w:tc>
      </w:tr>
    </w:tbl>
    <w:p/>
    <w:p>
      <w:pPr>
        <w:spacing w:before="120"/>
        <w:ind w:left="454"/>
      </w:pPr>
      <w:r>
        <w:rPr>
          <w:b/>
          <w:color w:val="444444"/>
          <w:sz w:val="19"/>
        </w:rPr>
        <w:t>[CONFIRMAR — divergência relevante para o preço]</w:t>
      </w:r>
      <w:r>
        <w:rPr>
          <w:color w:val="444444"/>
          <w:sz w:val="19"/>
        </w:rPr>
        <w:t xml:space="preserve"> O </w:t>
      </w:r>
      <w:r>
        <w:rPr>
          <w:i/>
          <w:color w:val="444444"/>
          <w:sz w:val="19"/>
        </w:rPr>
        <w:t>Descritivo das Atividades</w:t>
      </w:r>
      <w:r>
        <w:rPr>
          <w:color w:val="444444"/>
          <w:sz w:val="19"/>
        </w:rPr>
        <w:t xml:space="preserve"> indica trecho de modelagem de </w:t>
      </w:r>
      <w:r>
        <w:rPr>
          <w:b/>
          <w:color w:val="444444"/>
          <w:sz w:val="19"/>
        </w:rPr>
        <w:t>40 km</w:t>
      </w:r>
      <w:r>
        <w:rPr>
          <w:color w:val="444444"/>
          <w:sz w:val="19"/>
        </w:rPr>
        <w:t xml:space="preserve">, sub-trecho refinado de </w:t>
      </w:r>
      <w:r>
        <w:rPr>
          <w:b/>
          <w:color w:val="444444"/>
          <w:sz w:val="19"/>
        </w:rPr>
        <w:t>10 km</w:t>
      </w:r>
      <w:r>
        <w:rPr>
          <w:color w:val="444444"/>
          <w:sz w:val="19"/>
        </w:rPr>
        <w:t xml:space="preserve"> e levantamento LiDAR de </w:t>
      </w:r>
      <w:r>
        <w:rPr>
          <w:b/>
          <w:color w:val="444444"/>
          <w:sz w:val="19"/>
        </w:rPr>
        <w:t>16 km²</w:t>
      </w:r>
      <w:r>
        <w:rPr>
          <w:color w:val="444444"/>
          <w:sz w:val="19"/>
        </w:rPr>
        <w:t xml:space="preserve">. A base GIS do projeto contém, respectivamente, </w:t>
      </w:r>
      <w:r>
        <w:rPr>
          <w:b/>
          <w:color w:val="444444"/>
          <w:sz w:val="19"/>
        </w:rPr>
        <w:t>51,7 km</w:t>
      </w:r>
      <w:r>
        <w:rPr>
          <w:color w:val="444444"/>
          <w:sz w:val="19"/>
        </w:rPr>
        <w:t xml:space="preserve">, </w:t>
      </w:r>
      <w:r>
        <w:rPr>
          <w:b/>
          <w:color w:val="444444"/>
          <w:sz w:val="19"/>
        </w:rPr>
        <w:t>35,9 km</w:t>
      </w:r>
      <w:r>
        <w:rPr>
          <w:color w:val="444444"/>
          <w:sz w:val="19"/>
        </w:rPr>
        <w:t xml:space="preserve"> e polígonos de 24,2 / 48,2 / 139,4 km². Essa divergência altera substancialmente o custo do Eixo 1 (voo LiDAR, batimetria, processamento) e </w:t>
      </w:r>
      <w:r>
        <w:rPr>
          <w:b/>
          <w:color w:val="444444"/>
          <w:sz w:val="19"/>
        </w:rPr>
        <w:t>deve ser resolvida antes da publicação do TR</w:t>
      </w:r>
      <w:r>
        <w:rPr>
          <w:color w:val="444444"/>
          <w:sz w:val="19"/>
        </w:rPr>
        <w:t xml:space="preserve">. Recomenda-se fixar os valores no TR e disponibilizar os </w:t>
      </w:r>
      <w:r>
        <w:rPr>
          <w:i/>
          <w:color w:val="444444"/>
          <w:sz w:val="19"/>
        </w:rPr>
        <w:t>shapefiles</w:t>
      </w:r>
      <w:r>
        <w:rPr>
          <w:color w:val="444444"/>
          <w:sz w:val="19"/>
        </w:rPr>
        <w:t xml:space="preserve"> como anexo vinculante.</w:t>
      </w:r>
    </w:p>
    <w:p>
      <w:pPr>
        <w:pStyle w:val="Heading3"/>
        <w:jc w:val="left"/>
      </w:pPr>
      <w:r>
        <w:rPr>
          <w:rFonts w:ascii="Calibri" w:hAnsi="Calibri"/>
          <w:color w:val="1F5C8B"/>
        </w:rPr>
        <w:t>4.3 Sistema de referência</w:t>
      </w:r>
    </w:p>
    <w:p>
      <w:r>
        <w:t xml:space="preserve">Todos os produtos geoespaciais deverão ser entregues em </w:t>
      </w:r>
      <w:r>
        <w:rPr>
          <w:b/>
        </w:rPr>
        <w:t>SIRGAS 2000 / UTM zona 22S (EPSG:31982)</w:t>
      </w:r>
      <w:r>
        <w:t xml:space="preserve">, com altitudes ortométricas referidas ao </w:t>
      </w:r>
      <w:r>
        <w:rPr>
          <w:b/>
        </w:rPr>
        <w:t>Imbituba (SGB)</w:t>
      </w:r>
      <w:r>
        <w:t>, acompanhadas do modelo de ondulação geoidal utilizado (MAPGEO2015 ou sucessor).</w:t>
      </w:r>
    </w:p>
    <w:p>
      <w:pPr>
        <w:spacing w:before="120"/>
        <w:ind w:left="454"/>
      </w:pPr>
      <w:r>
        <w:rPr>
          <w:b/>
          <w:color w:val="444444"/>
          <w:sz w:val="19"/>
        </w:rPr>
        <w:t>Observação técnica:</w:t>
      </w:r>
      <w:r>
        <w:rPr>
          <w:color w:val="444444"/>
          <w:sz w:val="19"/>
        </w:rPr>
        <w:t xml:space="preserve"> a base GIS atual apresenta inconsistências de sistema de referência — camadas em EPSG:31983 (UTM 23S), EPSG:32722 (WGS 84 UTM 22S), EPSG:20822 (Aratu UTM 22S) e arquivos sem CRS definido. A CONTRATADA deverá entregar toda a base </w:t>
      </w:r>
      <w:r>
        <w:rPr>
          <w:b/>
          <w:color w:val="444444"/>
          <w:sz w:val="19"/>
        </w:rPr>
        <w:t>harmonizada em EPSG:31982</w:t>
      </w:r>
      <w:r>
        <w:rPr>
          <w:color w:val="444444"/>
          <w:sz w:val="19"/>
        </w:rPr>
        <w:t>, com relatório de reprojeção.</w:t>
      </w:r>
    </w:p>
    <w:p>
      <w:pPr>
        <w:pStyle w:val="Heading2"/>
        <w:jc w:val="left"/>
      </w:pPr>
      <w:r>
        <w:rPr>
          <w:rFonts w:ascii="Calibri" w:hAnsi="Calibri"/>
          <w:color w:val="1F5C8B"/>
        </w:rPr>
        <w:t>5. ESCOPO DOS SERVIÇOS</w:t>
      </w:r>
    </w:p>
    <w:p>
      <w:r>
        <w:t xml:space="preserve">O escopo organiza-se em </w:t>
      </w:r>
      <w:r>
        <w:rPr>
          <w:b/>
        </w:rPr>
        <w:t>cinco eixos técnicos</w:t>
      </w:r>
      <w:r>
        <w:t>, correspondentes às atividades do Marco Lógico da Ação (Macro Logframe SEDEC, versão final de 20/07/2027), conforme a tabela de correspondência: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val="clear" w:fill="1F5C8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Eixo</w:t>
            </w:r>
          </w:p>
        </w:tc>
        <w:tc>
          <w:tcPr>
            <w:tcW w:type="dxa" w:w="2351"/>
            <w:shd w:val="clear" w:fill="1F5C8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Atividade (Logframe)</w:t>
            </w:r>
          </w:p>
        </w:tc>
        <w:tc>
          <w:tcPr>
            <w:tcW w:type="dxa" w:w="2351"/>
            <w:shd w:val="clear" w:fill="1F5C8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Produto (Output)</w:t>
            </w:r>
          </w:p>
        </w:tc>
        <w:tc>
          <w:tcPr>
            <w:tcW w:type="dxa" w:w="2351"/>
            <w:shd w:val="clear" w:fill="1F5C8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Orçamento</w:t>
            </w:r>
          </w:p>
        </w:tc>
      </w:tr>
      <w:tr>
        <w:tc>
          <w:tcPr>
            <w:tcW w:type="dxa" w:w="2351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Eixo 1</w:t>
            </w:r>
          </w:p>
        </w:tc>
        <w:tc>
          <w:tcPr>
            <w:tcW w:type="dxa" w:w="2351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AC 1.1</w:t>
            </w:r>
          </w:p>
        </w:tc>
        <w:tc>
          <w:tcPr>
            <w:tcW w:type="dxa" w:w="2351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OP.1</w:t>
            </w:r>
          </w:p>
        </w:tc>
        <w:tc>
          <w:tcPr>
            <w:tcW w:type="dxa" w:w="2351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€ 133.875</w:t>
            </w:r>
          </w:p>
        </w:tc>
      </w:tr>
      <w:tr>
        <w:tc>
          <w:tcPr>
            <w:tcW w:type="dxa" w:w="2351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Eixo 2</w:t>
            </w:r>
          </w:p>
        </w:tc>
        <w:tc>
          <w:tcPr>
            <w:tcW w:type="dxa" w:w="2351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AC 1.2</w:t>
            </w:r>
          </w:p>
        </w:tc>
        <w:tc>
          <w:tcPr>
            <w:tcW w:type="dxa" w:w="2351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OP.1</w:t>
            </w:r>
          </w:p>
        </w:tc>
        <w:tc>
          <w:tcPr>
            <w:tcW w:type="dxa" w:w="2351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€ 45.000</w:t>
            </w:r>
          </w:p>
        </w:tc>
      </w:tr>
      <w:tr>
        <w:tc>
          <w:tcPr>
            <w:tcW w:type="dxa" w:w="2351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Eixo 3</w:t>
            </w:r>
          </w:p>
        </w:tc>
        <w:tc>
          <w:tcPr>
            <w:tcW w:type="dxa" w:w="2351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AC 2.1</w:t>
            </w:r>
          </w:p>
        </w:tc>
        <w:tc>
          <w:tcPr>
            <w:tcW w:type="dxa" w:w="2351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OP.2</w:t>
            </w:r>
          </w:p>
        </w:tc>
        <w:tc>
          <w:tcPr>
            <w:tcW w:type="dxa" w:w="2351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€ 45.000</w:t>
            </w:r>
          </w:p>
        </w:tc>
      </w:tr>
      <w:tr>
        <w:tc>
          <w:tcPr>
            <w:tcW w:type="dxa" w:w="2351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Eixo 4</w:t>
            </w:r>
          </w:p>
        </w:tc>
        <w:tc>
          <w:tcPr>
            <w:tcW w:type="dxa" w:w="2351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AC 2.2</w:t>
            </w:r>
          </w:p>
        </w:tc>
        <w:tc>
          <w:tcPr>
            <w:tcW w:type="dxa" w:w="2351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OP.2</w:t>
            </w:r>
          </w:p>
        </w:tc>
        <w:tc>
          <w:tcPr>
            <w:tcW w:type="dxa" w:w="2351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€ 30.000</w:t>
            </w:r>
          </w:p>
        </w:tc>
      </w:tr>
      <w:tr>
        <w:tc>
          <w:tcPr>
            <w:tcW w:type="dxa" w:w="2351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Eixo 5</w:t>
            </w:r>
          </w:p>
        </w:tc>
        <w:tc>
          <w:tcPr>
            <w:tcW w:type="dxa" w:w="2351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AC 3.1</w:t>
            </w:r>
          </w:p>
        </w:tc>
        <w:tc>
          <w:tcPr>
            <w:tcW w:type="dxa" w:w="2351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OP.3</w:t>
            </w:r>
          </w:p>
        </w:tc>
        <w:tc>
          <w:tcPr>
            <w:tcW w:type="dxa" w:w="2351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€ 20.000</w:t>
            </w:r>
          </w:p>
        </w:tc>
      </w:tr>
      <w:tr>
        <w:tc>
          <w:tcPr>
            <w:tcW w:type="dxa" w:w="2351"/>
          </w:tcPr>
          <w:p>
            <w:pPr>
              <w:jc w:val="left"/>
            </w:pPr>
            <w:r>
              <w:rPr>
                <w:sz w:val="18"/>
              </w:rPr>
            </w:r>
          </w:p>
        </w:tc>
        <w:tc>
          <w:tcPr>
            <w:tcW w:type="dxa" w:w="2351"/>
          </w:tcPr>
          <w:p>
            <w:pPr>
              <w:jc w:val="left"/>
            </w:pPr>
            <w:r>
              <w:rPr>
                <w:sz w:val="18"/>
              </w:rPr>
            </w:r>
          </w:p>
        </w:tc>
        <w:tc>
          <w:tcPr>
            <w:tcW w:type="dxa" w:w="2351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Subtotal assistência técnica</w:t>
            </w:r>
          </w:p>
        </w:tc>
        <w:tc>
          <w:tcPr>
            <w:tcW w:type="dxa" w:w="2351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€ 273.875</w:t>
            </w:r>
          </w:p>
        </w:tc>
      </w:tr>
    </w:tbl>
    <w:p/>
    <w:p/>
    <w:p>
      <w:pPr>
        <w:pStyle w:val="Heading3"/>
        <w:jc w:val="left"/>
      </w:pPr>
      <w:r>
        <w:rPr>
          <w:rFonts w:ascii="Calibri" w:hAnsi="Calibri"/>
          <w:color w:val="1F5C8B"/>
        </w:rPr>
        <w:t xml:space="preserve">EIXO 1 — Mapeamento altimétrico e dados hidrométricos </w:t>
      </w:r>
      <w:r>
        <w:rPr>
          <w:rFonts w:ascii="Calibri" w:hAnsi="Calibri"/>
          <w:i/>
          <w:color w:val="1F5C8B"/>
        </w:rPr>
        <w:t>(AC 1.1)</w:t>
      </w:r>
    </w:p>
    <w:p>
      <w:r>
        <w:rPr>
          <w:b/>
        </w:rPr>
        <w:t>Objetivo.</w:t>
      </w:r>
      <w:r>
        <w:t xml:space="preserve"> Estruturar base geoespacial de alta precisão, integrando levantamentos de campo e sensoriamento remoto, para gerar modelos detalhados do relevo, do leito fluvial e da ocupação urbana.</w:t>
      </w:r>
    </w:p>
    <w:p>
      <w:r>
        <w:rPr>
          <w:b/>
        </w:rPr>
        <w:t>Escopo mínimo:</w:t>
      </w:r>
    </w:p>
    <w:p>
      <w:r>
        <w:rPr>
          <w:b/>
        </w:rPr>
        <w:t>1.1 — Topografia por LiDAR aerotransportado (UAV).</w:t>
      </w:r>
      <w:r>
        <w:t xml:space="preserve"> Levantamento das planícies de inundação com LiDAR UAV, densidade mínima de </w:t>
      </w:r>
      <w:r>
        <w:rPr>
          <w:b/>
        </w:rPr>
        <w:t>20 pts/m²</w:t>
      </w:r>
      <w:r>
        <w:t xml:space="preserve">, com fotogrametria RTK RGB associada. Geração de </w:t>
      </w:r>
      <w:r>
        <w:rPr>
          <w:b/>
        </w:rPr>
        <w:t>Modelo Digital de Terreno (MDT)</w:t>
      </w:r>
      <w:r>
        <w:t xml:space="preserve"> e </w:t>
      </w:r>
      <w:r>
        <w:rPr>
          <w:b/>
        </w:rPr>
        <w:t>Modelo Digital de Superfície (MDS)</w:t>
      </w:r>
      <w:r>
        <w:t xml:space="preserve"> com erro vertical </w:t>
      </w:r>
      <w:r>
        <w:rPr>
          <w:b/>
        </w:rPr>
        <w:t>inferior a 5 cm</w:t>
      </w:r>
      <w:r>
        <w:t xml:space="preserve"> (RMSE), verificado contra pontos de controle independentes. Área: </w:t>
      </w:r>
      <w:r>
        <w:rPr>
          <w:b/>
        </w:rPr>
        <w:t>[CONFIRMAR — ver 4.2]</w:t>
      </w:r>
      <w:r>
        <w:t>. Apoio de campo com no mínimo 20 a 30 seções GNSS RTK terrestres.</w:t>
      </w:r>
    </w:p>
    <w:p>
      <w:r>
        <w:rPr>
          <w:b/>
        </w:rPr>
        <w:t>1.2 — Batimetria.</w:t>
      </w:r>
      <w:r>
        <w:t xml:space="preserve"> Levantamento do leito do rio Taquari com ecobatímetro </w:t>
      </w:r>
      <w:r>
        <w:rPr>
          <w:i/>
        </w:rPr>
        <w:t>single-beam</w:t>
      </w:r>
      <w:r>
        <w:t xml:space="preserve"> (200 kHz) acoplado a GNSS RTK, gerando nuvem de pontos cotados. Extensão mínima de </w:t>
      </w:r>
      <w:r>
        <w:rPr>
          <w:b/>
        </w:rPr>
        <w:t>6 km lineares</w:t>
      </w:r>
      <w:r>
        <w:t xml:space="preserve"> (≈ 1,6 km²), resultando em 30 a 40 perfis transversais. Amarração obrigatória à topografia aérea, compondo </w:t>
      </w:r>
      <w:r>
        <w:rPr>
          <w:b/>
        </w:rPr>
        <w:t>modelo digital contínuo terreno–fundo</w:t>
      </w:r>
      <w:r>
        <w:t>, sem descontinuidade na interface margem/leito.</w:t>
      </w:r>
    </w:p>
    <w:p>
      <w:r>
        <w:rPr>
          <w:b/>
        </w:rPr>
        <w:t>1.3 — Seções topobatimétricas complementares.</w:t>
      </w:r>
      <w:r>
        <w:t xml:space="preserve"> Mínimo de </w:t>
      </w:r>
      <w:r>
        <w:rPr>
          <w:b/>
        </w:rPr>
        <w:t>20 seções</w:t>
      </w:r>
      <w:r>
        <w:t xml:space="preserve"> em travessias, pontos de controle e principais córregos afluentes, admitindo-se métodos simplificados (molinete, varão) nos tributários.</w:t>
      </w:r>
    </w:p>
    <w:p>
      <w:r>
        <w:rPr>
          <w:b/>
        </w:rPr>
        <w:t>1.4 — Medições de vazão.</w:t>
      </w:r>
      <w:r>
        <w:t xml:space="preserve"> Mínimo de </w:t>
      </w:r>
      <w:r>
        <w:rPr>
          <w:b/>
        </w:rPr>
        <w:t>10 medições</w:t>
      </w:r>
      <w:r>
        <w:t xml:space="preserve"> de vazão com levantamento simultâneo do perfil de linha d'água, no rio Taquari e principais afluentes, distribuídas em diferentes condições de escoamento.</w:t>
      </w:r>
    </w:p>
    <w:p>
      <w:r>
        <w:rPr>
          <w:b/>
        </w:rPr>
        <w:t>1.5 — Cadastro técnico de edificações e infraestrutura.</w:t>
      </w:r>
      <w:r>
        <w:t xml:space="preserve"> Georreferenciamento e classificação por tipologia (residencial, comercial, industrial, hospital, escola, posto de saúde, prédio público, equipamento esportivo, cemitério, delegacia). Para cada unidade: </w:t>
      </w:r>
      <w:r>
        <w:rPr>
          <w:b/>
        </w:rPr>
        <w:t>cota de soleira/pavimento</w:t>
      </w:r>
      <w:r>
        <w:t xml:space="preserve">, número de pavimentos e cota de início de inundação. Cadastro de elementos de engenharia: </w:t>
      </w:r>
      <w:r>
        <w:rPr>
          <w:b/>
        </w:rPr>
        <w:t>cota de tabuleiro de pontes</w:t>
      </w:r>
      <w:r>
        <w:t>, greide de aterros e vias de acesso, galerias de macrodrenagem, subestações, estações de tratamento de água e esgoto, travessias.</w:t>
      </w:r>
    </w:p>
    <w:p>
      <w:r>
        <w:rPr>
          <w:b/>
        </w:rPr>
        <w:t>1.6 — Modelo 3D e base SIG integrada.</w:t>
      </w:r>
      <w:r>
        <w:t xml:space="preserve"> Modelo tridimensional do terreno e das edificações; base SIG estruturada, compatível com os sistemas do município, contendo todos os atributos altimétricos e cadastrais vinculados.</w:t>
      </w:r>
    </w:p>
    <w:p>
      <w:r>
        <w:rPr>
          <w:b/>
        </w:rPr>
        <w:t>1.7 — Integração de bases de baixo custo.</w:t>
      </w:r>
      <w:r>
        <w:t xml:space="preserve"> Para os trechos a montante e jusante dos limites do refinamento, integrar bases gratuitas (ANADEM, SRTM, Copernicus DEM, dados existentes da bacia Taquari-Antas e das prefeituras), com relatório de compatibilização e análise de erro na costura.</w:t>
      </w:r>
    </w:p>
    <w:p>
      <w:r>
        <w:rPr>
          <w:b/>
        </w:rPr>
        <w:t>Entregáveis:</w:t>
      </w:r>
      <w:r>
        <w:t xml:space="preserve"> Relatório integrado de levantamentos (topografia, batimetria, hidrometria); MDT e MDS em GeoTIFF; nuvem de pontos classificada (LAS/LAZ); base SIG em GeoPackage; modelo 3D; relatório de controle de qualidade com análise de acurácia.</w:t>
      </w:r>
    </w:p>
    <w:p>
      <w:r>
        <w:rPr>
          <w:b/>
        </w:rPr>
        <w:t>Indicadores do Logframe atendidos:</w:t>
      </w:r>
      <w:r>
        <w:t xml:space="preserve"> OP.1.1 — 1 estudo integrado; 1 base de dados SIG com cadastro de edificações, infraestruturas e topografia com MDE.</w:t>
      </w:r>
    </w:p>
    <w:p/>
    <w:p>
      <w:pPr>
        <w:pStyle w:val="Heading3"/>
        <w:jc w:val="left"/>
      </w:pPr>
      <w:r>
        <w:rPr>
          <w:rFonts w:ascii="Calibri" w:hAnsi="Calibri"/>
          <w:color w:val="1F5C8B"/>
        </w:rPr>
        <w:t xml:space="preserve">EIXO 2 — Modelagem hidrológica e hidrodinâmica </w:t>
      </w:r>
      <w:r>
        <w:rPr>
          <w:rFonts w:ascii="Calibri" w:hAnsi="Calibri"/>
          <w:i/>
          <w:color w:val="1F5C8B"/>
        </w:rPr>
        <w:t>(AC 1.2)</w:t>
      </w:r>
    </w:p>
    <w:p>
      <w:r>
        <w:rPr>
          <w:b/>
        </w:rPr>
        <w:t>Objetivo.</w:t>
      </w:r>
      <w:r>
        <w:t xml:space="preserve"> Determinar a resposta hidrodinâmica da bacia frente a eventos extremos e avaliar estratégias de amortecimento.</w:t>
      </w:r>
    </w:p>
    <w:p>
      <w:r>
        <w:rPr>
          <w:b/>
        </w:rPr>
        <w:t>Escopo mínimo:</w:t>
      </w:r>
    </w:p>
    <w:p>
      <w:r>
        <w:rPr>
          <w:b/>
        </w:rPr>
        <w:t>2.1 — Análise de frequência de vazões.</w:t>
      </w:r>
      <w:r>
        <w:t xml:space="preserve"> Estimativa de vazões para tempos de retorno de </w:t>
      </w:r>
      <w:r>
        <w:rPr>
          <w:b/>
        </w:rPr>
        <w:t>2, 5, 10, 25, 50, 100, 500 e 1.000 anos</w:t>
      </w:r>
      <w:r>
        <w:t xml:space="preserve">, por métodos estatísticos consagrados, com teste de aderência de no mínimo três distribuições e justificativa da escolha. Uso obrigatório da série consistida de cotas do rio Taquari (Moraes </w:t>
      </w:r>
      <w:r>
        <w:rPr>
          <w:i/>
        </w:rPr>
        <w:t>et al.</w:t>
      </w:r>
      <w:r>
        <w:t>, 2024) e das séries ANA/CPRM dos postos da bacia.</w:t>
      </w:r>
    </w:p>
    <w:p>
      <w:r>
        <w:rPr>
          <w:b/>
        </w:rPr>
        <w:t>2.2 — Incorporação de mudanças climáticas.</w:t>
      </w:r>
      <w:r>
        <w:t xml:space="preserve"> Reestimativa das vazões de projeto considerando </w:t>
      </w:r>
      <w:r>
        <w:rPr>
          <w:b/>
        </w:rPr>
        <w:t>cenários do IPCC (AR6)</w:t>
      </w:r>
      <w:r>
        <w:t xml:space="preserve">, com no mínimo dois cenários (ex.: SSP2-4.5 e SSP5-8.5) e dois horizontes (2050 e 2100). Deverá ser explicitado o tratamento da </w:t>
      </w:r>
      <w:r>
        <w:rPr>
          <w:b/>
        </w:rPr>
        <w:t>não-estacionariedade</w:t>
      </w:r>
      <w:r>
        <w:t xml:space="preserve"> e a incerteza associada.</w:t>
      </w:r>
    </w:p>
    <w:p>
      <w:r>
        <w:rPr>
          <w:b/>
        </w:rPr>
        <w:t>2.3 — Modelo hidrológico distribuído.</w:t>
      </w:r>
      <w:r>
        <w:t xml:space="preserve"> Modelo chuva-vazão da bacia Taquari-Antas para geração dos hidrogramas de cheia, com discretização em sub-bacias que permita representar </w:t>
      </w:r>
      <w:r>
        <w:rPr>
          <w:b/>
        </w:rPr>
        <w:t>separadamente as parcelas controladas e não controladas</w:t>
      </w:r>
      <w:r>
        <w:t xml:space="preserve"> por eventuais barragens. Deve permitir a simulação do efeito de soluções baseadas na natureza (infraestrutura verde e azul) e de controle de uso e ocupação do solo nos tributários.</w:t>
      </w:r>
    </w:p>
    <w:p>
      <w:r>
        <w:t>2.4 — Modelo hidráulico. Modelagem hidráulica unidimensional (1D) obrigatória no trecho de estudo e no subtrecho refinado que compreende a área urbana de Estrela. O modelo deverá representar calha, planície, pontes, confluências, diques e estruturas de controle por seções transversais e estruturas hidráulicas. A geração de mapas de profundidade, velocidade, perigo hidrodinâmico (h·v), tempo de propagação e extensão das manchas deverá ser feita a partir do HEC-RAS 1D e de pós-processamento geoespacial. Eventual uso de modelo 2D poderá ser proposto apenas como análise complementar, mediante justificativa e aprovação da CONTRATANTE; não integra o modelo hidráulico principal deste TR.</w:t>
      </w:r>
    </w:p>
    <w:p>
      <w:r>
        <w:rPr>
          <w:b/>
        </w:rPr>
        <w:t>2.5 — Calibração e validação.</w:t>
      </w:r>
      <w:r>
        <w:t xml:space="preserve"> Obrigatórias, com base em: marcas históricas de cheia; dados dos eventos de 2023, 2024 e 2025; imagens de satélite de eventos passados; e os levantamentos hidrométricos do Eixo 1. Deverão ser reportados índices de desempenho (Nash-Sutcliffe, erro de pico, erro de volume, ajuste da mancha por índice de Jaccard/</w:t>
      </w:r>
      <w:r>
        <w:rPr>
          <w:i/>
        </w:rPr>
        <w:t>Critical Success Index</w:t>
      </w:r>
      <w:r>
        <w:t>).</w:t>
      </w:r>
    </w:p>
    <w:p>
      <w:r>
        <w:rPr>
          <w:b/>
        </w:rPr>
        <w:t>2.6 — Roteamento de reservatórios.</w:t>
      </w:r>
      <w:r>
        <w:t xml:space="preserve"> Para cada alternativa com barragem, roteamento hidrológico ou hidrodinâmico do reservatório com </w:t>
      </w:r>
      <w:r>
        <w:rPr>
          <w:b/>
        </w:rPr>
        <w:t>curvas cota-área-volume derivadas do MDE do Eixo 1</w:t>
      </w:r>
      <w:r>
        <w:t xml:space="preserve">, representação explícita das estruturas de descarga (vertedouro, descarga de fundo, comportas) e </w:t>
      </w:r>
      <w:r>
        <w:rPr>
          <w:b/>
        </w:rPr>
        <w:t>verificação de saturação</w:t>
      </w:r>
      <w:r>
        <w:t xml:space="preserve"> do reservatório durante o evento.</w:t>
      </w:r>
    </w:p>
    <w:p>
      <w:r>
        <w:rPr>
          <w:b/>
        </w:rPr>
        <w:t>Entregáveis:</w:t>
      </w:r>
      <w:r>
        <w:t xml:space="preserve"> Relatório de estudos hidrológicos; Relatório de estudos hidráulicos; base SIG com áreas inundáveis por cenário; </w:t>
      </w:r>
      <w:r>
        <w:rPr>
          <w:b/>
        </w:rPr>
        <w:t>arquivos de trabalho dos modelos</w:t>
      </w:r>
      <w:r>
        <w:t xml:space="preserve"> (projeto completo, executável pela CONTRATANTE).</w:t>
      </w:r>
    </w:p>
    <w:p>
      <w:r>
        <w:rPr>
          <w:b/>
        </w:rPr>
        <w:t>Indicadores do Logframe atendidos:</w:t>
      </w:r>
      <w:r>
        <w:t xml:space="preserve"> OP.1.2 — 2 estudos (hidrológico e hidráulico); 1 base SIG com áreas inundáveis e arquivos de simulação.</w:t>
      </w:r>
    </w:p>
    <w:p/>
    <w:p>
      <w:pPr>
        <w:pStyle w:val="Heading3"/>
        <w:jc w:val="left"/>
      </w:pPr>
      <w:r>
        <w:rPr>
          <w:rFonts w:ascii="Calibri" w:hAnsi="Calibri"/>
          <w:color w:val="1F5C8B"/>
        </w:rPr>
        <w:t xml:space="preserve">EIXO 3 — Análise de alternativas para redução e gerenciamento integrado de riscos </w:t>
      </w:r>
      <w:r>
        <w:rPr>
          <w:rFonts w:ascii="Calibri" w:hAnsi="Calibri"/>
          <w:i/>
          <w:color w:val="1F5C8B"/>
        </w:rPr>
        <w:t>(AC 2.1)</w:t>
      </w:r>
    </w:p>
    <w:p>
      <w:r>
        <w:rPr>
          <w:b/>
        </w:rPr>
        <w:t>Objetivo.</w:t>
      </w:r>
      <w:r>
        <w:t xml:space="preserve"> Espacializar as vulnerabilidades urbanas frente às ameaças simuladas e </w:t>
      </w:r>
      <w:r>
        <w:rPr>
          <w:b/>
        </w:rPr>
        <w:t>arbitrar economicamente entre alternativas de mitigação</w:t>
      </w:r>
      <w:r>
        <w:t>.</w:t>
      </w:r>
    </w:p>
    <w:p>
      <w:r>
        <w:rPr>
          <w:b/>
        </w:rPr>
        <w:t>Escopo mínimo:</w:t>
      </w:r>
    </w:p>
    <w:p>
      <w:r>
        <w:rPr>
          <w:b/>
        </w:rPr>
        <w:t>3.1 — Mapas de risco.</w:t>
      </w:r>
      <w:r>
        <w:t xml:space="preserve"> Cruzamento das manchas de inundação com o cadastro técnico, gerando mapas de </w:t>
      </w:r>
      <w:r>
        <w:rPr>
          <w:b/>
        </w:rPr>
        <w:t>ameaça</w:t>
      </w:r>
      <w:r>
        <w:t xml:space="preserve">, </w:t>
      </w:r>
      <w:r>
        <w:rPr>
          <w:b/>
        </w:rPr>
        <w:t>vulnerabilidade</w:t>
      </w:r>
      <w:r>
        <w:t xml:space="preserve"> e </w:t>
      </w:r>
      <w:r>
        <w:rPr>
          <w:b/>
        </w:rPr>
        <w:t>risco</w:t>
      </w:r>
      <w:r>
        <w:t xml:space="preserve"> classificados em Alto, Médio e Baixo, por faixas de cota, profundidade, velocidade e perigo hidrodinâmico.</w:t>
      </w:r>
    </w:p>
    <w:p>
      <w:r>
        <w:rPr>
          <w:b/>
        </w:rPr>
        <w:t>3.2 — População exposta.</w:t>
      </w:r>
      <w:r>
        <w:t xml:space="preserve"> Cruzamento com cadastro populacional e territorial, identificando população exposta por faixa de inundação, com destaque para </w:t>
      </w:r>
      <w:r>
        <w:rPr>
          <w:b/>
        </w:rPr>
        <w:t>grupos vulneráveis</w:t>
      </w:r>
      <w:r>
        <w:t xml:space="preserve"> e </w:t>
      </w:r>
      <w:r>
        <w:rPr>
          <w:b/>
        </w:rPr>
        <w:t>equipamentos críticos</w:t>
      </w:r>
      <w:r>
        <w:t>.</w:t>
      </w:r>
    </w:p>
    <w:p>
      <w:r>
        <w:rPr>
          <w:b/>
        </w:rPr>
        <w:t>3.3 — Curvas cota-dano.</w:t>
      </w:r>
      <w:r>
        <w:t xml:space="preserve"> Construção de curvas de dano econômico direto por altura de lâmina d'água, </w:t>
      </w:r>
      <w:r>
        <w:rPr>
          <w:b/>
        </w:rPr>
        <w:t>diferenciadas por tipologia de edificação e de infraestrutura</w:t>
      </w:r>
      <w:r>
        <w:t>, com classificação espacial de zonas de dano equipotencial. Metodologia e fontes das funções de dano devem ser explicitadas e justificadas para o contexto brasileiro.</w:t>
      </w:r>
    </w:p>
    <w:p>
      <w:r>
        <w:rPr>
          <w:b/>
        </w:rPr>
        <w:t>3.4 — Níveis de alerta e gatilhos.</w:t>
      </w:r>
      <w:r>
        <w:t xml:space="preserve"> Definição de cotas de atenção, alerta e emergência associadas a previsões hidrológicas, indicando quais áreas e edificações são atingidas em cada patamar.</w:t>
      </w:r>
    </w:p>
    <w:p>
      <w:r>
        <w:rPr>
          <w:b/>
        </w:rPr>
        <w:t>3.5 — Análise comparativa de alternativas.</w:t>
      </w:r>
      <w:r>
        <w:t xml:space="preserve"> Avaliação quantitativa de, no mínimo, os seguintes grupos, </w:t>
      </w:r>
      <w:r>
        <w:rPr>
          <w:b/>
        </w:rPr>
        <w:t>isoladamente e em arranjos híbridos</w:t>
      </w:r>
      <w:r>
        <w:t>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  <w:shd w:val="clear" w:fill="1F5C8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Grupo</w:t>
            </w:r>
          </w:p>
        </w:tc>
        <w:tc>
          <w:tcPr>
            <w:tcW w:type="dxa" w:w="4703"/>
            <w:shd w:val="clear" w:fill="1F5C8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Medidas</w:t>
            </w:r>
          </w:p>
        </w:tc>
      </w:tr>
      <w:tr>
        <w:tc>
          <w:tcPr>
            <w:tcW w:type="dxa" w:w="4703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Infraestrutura cinza</w:t>
            </w:r>
          </w:p>
        </w:tc>
        <w:tc>
          <w:tcPr>
            <w:tcW w:type="dxa" w:w="4703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 xml:space="preserve">barragens de amortecimento (incluindo arranjo de </w:t>
            </w:r>
            <w:r>
              <w:rPr>
                <w:b/>
                <w:sz w:val="18"/>
              </w:rPr>
              <w:t>barragem seca</w:t>
            </w:r>
            <w:r>
              <w:rPr>
                <w:sz w:val="18"/>
              </w:rPr>
              <w:t>), diques e polders, alteamento de pontes e vias, ampliação de macrodrenagem</w:t>
            </w:r>
          </w:p>
        </w:tc>
      </w:tr>
      <w:tr>
        <w:tc>
          <w:tcPr>
            <w:tcW w:type="dxa" w:w="4703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Infraestrutura verde e azul</w:t>
            </w:r>
          </w:p>
        </w:tc>
        <w:tc>
          <w:tcPr>
            <w:tcW w:type="dxa" w:w="4703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soluções baseadas na natureza nos tributários, recuperação de várzeas, jardins de chuva, reflorestamento ciliar</w:t>
            </w:r>
          </w:p>
        </w:tc>
      </w:tr>
      <w:tr>
        <w:tc>
          <w:tcPr>
            <w:tcW w:type="dxa" w:w="4703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Não estruturais</w:t>
            </w:r>
          </w:p>
        </w:tc>
        <w:tc>
          <w:tcPr>
            <w:tcW w:type="dxa" w:w="4703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realocação habitacional, zoneamento restritivo, controle de uso e ocupação do solo, sistema de alerta precoce</w:t>
            </w:r>
          </w:p>
        </w:tc>
      </w:tr>
    </w:tbl>
    <w:p/>
    <w:p>
      <w:r>
        <w:t xml:space="preserve">Para cada alternativa: dimensionamento preliminar, orçamento de referência, redução de dano esperada por tempo de retorno e cenário climático, e </w:t>
      </w:r>
      <w:r>
        <w:rPr>
          <w:b/>
        </w:rPr>
        <w:t>razão benefício-custo</w:t>
      </w:r>
      <w:r>
        <w:t>.</w:t>
      </w:r>
    </w:p>
    <w:p>
      <w:r>
        <w:rPr>
          <w:b/>
        </w:rPr>
        <w:t>3.6 — Requisitos específicos da avaliação de barragens.</w:t>
      </w:r>
      <w:r>
        <w:t xml:space="preserve"> Em razão dos achados do item 2.1, a avaliação de barragens deverá obrigatoriamente reportar: área de drenagem controlada e </w:t>
      </w:r>
      <w:r>
        <w:rPr>
          <w:b/>
        </w:rPr>
        <w:t>percentual da bacia</w:t>
      </w:r>
      <w:r>
        <w:t>; pico residual da área não controlada (</w:t>
      </w:r>
      <w:r>
        <w:rPr>
          <w:b/>
        </w:rPr>
        <w:t>piso físico de redução</w:t>
      </w:r>
      <w:r>
        <w:t xml:space="preserve">); curvas cota-área-volume; </w:t>
      </w:r>
      <w:r>
        <w:rPr>
          <w:b/>
        </w:rPr>
        <w:t>volume de amortecimento necessário</w:t>
      </w:r>
      <w:r>
        <w:t xml:space="preserve"> </w:t>
      </w:r>
      <w:r>
        <w:rPr>
          <w:rFonts w:ascii="Consolas" w:hAnsi="Consolas"/>
          <w:sz w:val="18"/>
        </w:rPr>
        <w:t>V = ∫max(0, Q−Q_alvo)dt</w:t>
      </w:r>
      <w:r>
        <w:t xml:space="preserve"> versus volume disponível; verificação de saturação; área inundável do reservatório, população e benfeitorias atingidas; enquadramento na </w:t>
      </w:r>
      <w:r>
        <w:rPr>
          <w:b/>
        </w:rPr>
        <w:t>Lei nº 12.334/2010 (Política Nacional de Segurança de Barragens)</w:t>
      </w:r>
      <w:r>
        <w:t xml:space="preserve"> e classificação quanto a categoria de risco e dano potencial associado.</w:t>
      </w:r>
    </w:p>
    <w:p>
      <w:r>
        <w:rPr>
          <w:b/>
        </w:rPr>
        <w:t>3.7 — Análise custo-benefício (CBA).</w:t>
      </w:r>
      <w:r>
        <w:t xml:space="preserve"> Consolidação em CBA com horizonte mínimo de </w:t>
      </w:r>
      <w:r>
        <w:rPr>
          <w:b/>
        </w:rPr>
        <w:t>50 anos</w:t>
      </w:r>
      <w:r>
        <w:t>, taxa de desconto social explicitada e análise de sensibilidade. Deve considerar danos evitados diretos e, quando possível, indiretos.</w:t>
      </w:r>
    </w:p>
    <w:p>
      <w:r>
        <w:rPr>
          <w:b/>
        </w:rPr>
        <w:t>Entregáveis:</w:t>
      </w:r>
      <w:r>
        <w:t xml:space="preserve"> Relatório de análise integrada de alternativas; base SIG com mapas de risco e alternativas estudadas; planilhas de CBA abertas e auditáveis.</w:t>
      </w:r>
    </w:p>
    <w:p>
      <w:r>
        <w:rPr>
          <w:b/>
        </w:rPr>
        <w:t>Indicadores do Logframe atendidos:</w:t>
      </w:r>
      <w:r>
        <w:t xml:space="preserve"> OP.2.1 — 1 relatório de análise integrada de alternativas; 1 base SIG com mapas de risco e alternativas.</w:t>
      </w:r>
    </w:p>
    <w:p/>
    <w:p>
      <w:pPr>
        <w:pStyle w:val="Heading3"/>
        <w:jc w:val="left"/>
      </w:pPr>
      <w:r>
        <w:rPr>
          <w:rFonts w:ascii="Calibri" w:hAnsi="Calibri"/>
          <w:color w:val="1F5C8B"/>
        </w:rPr>
        <w:t xml:space="preserve">EIXO 4 — Especificações e diretrizes para sistema local de monitoramento, previsão e alerta </w:t>
      </w:r>
      <w:r>
        <w:rPr>
          <w:rFonts w:ascii="Calibri" w:hAnsi="Calibri"/>
          <w:i/>
          <w:color w:val="1F5C8B"/>
        </w:rPr>
        <w:t>(AC 2.2)</w:t>
      </w:r>
    </w:p>
    <w:p>
      <w:r>
        <w:rPr>
          <w:b/>
        </w:rPr>
        <w:t>Objetivo.</w:t>
      </w:r>
      <w:r>
        <w:t xml:space="preserve"> Elaborar plano estratégico para implementação de Sistema de Alerta Precoce de Cheias (</w:t>
      </w:r>
      <w:r>
        <w:rPr>
          <w:i/>
        </w:rPr>
        <w:t>Flood Early Warning System</w:t>
      </w:r>
      <w:r>
        <w:t xml:space="preserve"> — FEWS) em Estrela, conforme diretrizes da Organização Meteorológica Mundial (OMM).</w:t>
      </w:r>
    </w:p>
    <w:p>
      <w:r>
        <w:rPr>
          <w:b/>
        </w:rPr>
        <w:t>Escopo mínimo:</w:t>
      </w:r>
    </w:p>
    <w:p>
      <w:r>
        <w:rPr>
          <w:b/>
        </w:rPr>
        <w:t>4.1 — Arquitetura da rede de monitoramento.</w:t>
      </w:r>
      <w:r>
        <w:t xml:space="preserve"> Dimensionamento e localização de estações telemétricas automáticas de </w:t>
      </w:r>
      <w:r>
        <w:rPr>
          <w:b/>
        </w:rPr>
        <w:t>nível (hidrométricas)</w:t>
      </w:r>
      <w:r>
        <w:t xml:space="preserve"> e </w:t>
      </w:r>
      <w:r>
        <w:rPr>
          <w:b/>
        </w:rPr>
        <w:t>chuva (pluviométricas)</w:t>
      </w:r>
      <w:r>
        <w:t>, em pontos definidos a partir dos levantamentos e modelagens dos eixos anteriores.</w:t>
      </w:r>
    </w:p>
    <w:p>
      <w:r>
        <w:rPr>
          <w:b/>
        </w:rPr>
        <w:t>4.2 — Especificação técnica para aquisição.</w:t>
      </w:r>
      <w:r>
        <w:t xml:space="preserve"> Especificações detalhadas de equipamentos, sensores, comunicação, energia e instalação, em nível suficiente para licitação.</w:t>
      </w:r>
    </w:p>
    <w:p>
      <w:r>
        <w:rPr>
          <w:b/>
        </w:rPr>
        <w:t>4.3 — Integração institucional.</w:t>
      </w:r>
      <w:r>
        <w:t xml:space="preserve"> Protocolos de integração às redes nacional e estadual — </w:t>
      </w:r>
      <w:r>
        <w:rPr>
          <w:b/>
        </w:rPr>
        <w:t>CEMADEN, SGB/CPRM, ANA, Defesa Civil do RS e SEDEC</w:t>
      </w:r>
      <w:r>
        <w:t xml:space="preserve"> — vedada a concepção de sistema isolado.</w:t>
      </w:r>
    </w:p>
    <w:p>
      <w:r>
        <w:rPr>
          <w:b/>
        </w:rPr>
        <w:t>4.4 — Protocolos de acionamento.</w:t>
      </w:r>
      <w:r>
        <w:t xml:space="preserve"> Gatilhos de </w:t>
      </w:r>
      <w:r>
        <w:rPr>
          <w:b/>
        </w:rPr>
        <w:t>atenção, alerta e emergência</w:t>
      </w:r>
      <w:r>
        <w:t xml:space="preserve"> vinculados às cotas críticas simuladas no Eixo 2, com protocolos multicanais (SMS, aplicativos de mensagem, sirenes, rádio).</w:t>
      </w:r>
    </w:p>
    <w:p>
      <w:r>
        <w:rPr>
          <w:b/>
        </w:rPr>
        <w:t>4.5 — Governança e capacitação.</w:t>
      </w:r>
      <w:r>
        <w:t xml:space="preserve"> Modelo de governança do sistema, plano de manutenção, plano de capacitação da Defesa Civil municipal e estratégia de engajamento comunitário.</w:t>
      </w:r>
    </w:p>
    <w:p>
      <w:r>
        <w:rPr>
          <w:b/>
        </w:rPr>
        <w:t>4.6 — Guia metodológico replicável.</w:t>
      </w:r>
      <w:r>
        <w:t xml:space="preserve"> A partir do caso de Estrela, guia estruturado para adoção por outras municipalidades.</w:t>
      </w:r>
    </w:p>
    <w:p>
      <w:r>
        <w:rPr>
          <w:b/>
        </w:rPr>
        <w:t>Entregáveis:</w:t>
      </w:r>
      <w:r>
        <w:t xml:space="preserve"> Guia de diretrizes para sistema local de monitoramento e alerta; Especificações técnicas para o sistema de Estrela.</w:t>
      </w:r>
    </w:p>
    <w:p>
      <w:r>
        <w:rPr>
          <w:b/>
        </w:rPr>
        <w:t>Indicadores do Logframe atendidos:</w:t>
      </w:r>
      <w:r>
        <w:t xml:space="preserve"> OP.2.2 — 2 instrumentos técnicos e operacionais para implementação de SATI.</w:t>
      </w:r>
    </w:p>
    <w:p/>
    <w:p>
      <w:pPr>
        <w:pStyle w:val="Heading3"/>
        <w:jc w:val="left"/>
      </w:pPr>
      <w:r>
        <w:rPr>
          <w:rFonts w:ascii="Calibri" w:hAnsi="Calibri"/>
          <w:color w:val="1F5C8B"/>
        </w:rPr>
        <w:t xml:space="preserve">EIXO 5 — Guia de diretrizes para análise de alternativas integradas </w:t>
      </w:r>
      <w:r>
        <w:rPr>
          <w:rFonts w:ascii="Calibri" w:hAnsi="Calibri"/>
          <w:i/>
          <w:color w:val="1F5C8B"/>
        </w:rPr>
        <w:t>(AC 3.1)</w:t>
      </w:r>
    </w:p>
    <w:p>
      <w:r>
        <w:rPr>
          <w:b/>
        </w:rPr>
        <w:t>Objetivo.</w:t>
      </w:r>
      <w:r>
        <w:t xml:space="preserve"> Transformar os diagnósticos e análises do estudo de caso de Estrela em </w:t>
      </w:r>
      <w:r>
        <w:rPr>
          <w:b/>
        </w:rPr>
        <w:t>guia metodológico replicável</w:t>
      </w:r>
      <w:r>
        <w:t xml:space="preserve"> para outros municípios.</w:t>
      </w:r>
    </w:p>
    <w:p>
      <w:r>
        <w:rPr>
          <w:b/>
        </w:rPr>
        <w:t>Escopo mínimo:</w:t>
      </w:r>
    </w:p>
    <w:p>
      <w:r>
        <w:rPr>
          <w:b/>
        </w:rPr>
        <w:t>5.1 — Metodologia passo a passo</w:t>
      </w:r>
      <w:r>
        <w:t>, desde a coleta de dados (Eixo 1) até a priorização de alternativas (Eixo 3), com fluxogramas operacionais.</w:t>
      </w:r>
    </w:p>
    <w:p>
      <w:r>
        <w:rPr>
          <w:b/>
        </w:rPr>
        <w:t>5.2 — Roteiro de levantamentos</w:t>
      </w:r>
      <w:r>
        <w:t xml:space="preserve"> necessários e dimensionamento de esforço.</w:t>
      </w:r>
    </w:p>
    <w:p>
      <w:r>
        <w:rPr>
          <w:b/>
        </w:rPr>
        <w:t>5.3 — Roteiro de modelagem</w:t>
      </w:r>
      <w:r>
        <w:t xml:space="preserve"> hidrológica e hidráulica, com critérios de escolha de dimensionalidade e resolução.</w:t>
      </w:r>
    </w:p>
    <w:p>
      <w:r>
        <w:rPr>
          <w:b/>
        </w:rPr>
        <w:t>5.4 — Roteiro de construção de curvas cota-dano</w:t>
      </w:r>
      <w:r>
        <w:t xml:space="preserve"> e de análise custo-benefício.</w:t>
      </w:r>
    </w:p>
    <w:p>
      <w:r>
        <w:rPr>
          <w:b/>
        </w:rPr>
        <w:t>5.5 — Catálogo de alternativas</w:t>
      </w:r>
      <w:r>
        <w:t xml:space="preserve"> com projetos-tipo adaptáveis (ex.: dique modular, plano de realocação, barragem seca), com desenhos e orçamentos de referência.</w:t>
      </w:r>
    </w:p>
    <w:p>
      <w:r>
        <w:rPr>
          <w:b/>
        </w:rPr>
        <w:t>5.6 — Diretrizes de uso e ocupação</w:t>
      </w:r>
      <w:r>
        <w:t xml:space="preserve"> para evitar reocupação de áreas de risco, com usos compatíveis (lazer, atividade física, atividades econômicas de baixo impacto).</w:t>
      </w:r>
    </w:p>
    <w:p>
      <w:r>
        <w:rPr>
          <w:b/>
        </w:rPr>
        <w:t>5.7 — Sistematização metodológica</w:t>
      </w:r>
      <w:r>
        <w:t>: etapas, ferramentas, critérios, indicadores, boas práticas, lições aprendidas.</w:t>
      </w:r>
    </w:p>
    <w:p>
      <w:r>
        <w:rPr>
          <w:b/>
        </w:rPr>
        <w:t>5.8 — Oficinas de capacitação</w:t>
      </w:r>
      <w:r>
        <w:t xml:space="preserve"> para a Defesa Civil de Estrela e demais interessados, com material didático e checklist de monitoramento pós-obra.</w:t>
      </w:r>
    </w:p>
    <w:p>
      <w:r>
        <w:rPr>
          <w:b/>
        </w:rPr>
        <w:t>Entregáveis:</w:t>
      </w:r>
      <w:r>
        <w:t xml:space="preserve"> Guia de diretrizes para análise de alternativas integradas para redução de riscos e infraestrutura resiliente a inundações.</w:t>
      </w:r>
    </w:p>
    <w:p>
      <w:r>
        <w:rPr>
          <w:b/>
        </w:rPr>
        <w:t>Indicadores do Logframe atendidos:</w:t>
      </w:r>
      <w:r>
        <w:t xml:space="preserve"> OP.3.1 — 1 guia de diretrizes.</w:t>
      </w:r>
    </w:p>
    <w:p/>
    <w:p>
      <w:pPr>
        <w:pStyle w:val="Heading2"/>
        <w:jc w:val="left"/>
      </w:pPr>
      <w:r>
        <w:rPr>
          <w:rFonts w:ascii="Calibri" w:hAnsi="Calibri"/>
          <w:color w:val="1F5C8B"/>
        </w:rPr>
        <w:t>6. PRODUTOS, MARCOS E CRONOGRAMA</w:t>
      </w:r>
    </w:p>
    <w:p>
      <w:pPr>
        <w:pStyle w:val="Heading3"/>
        <w:jc w:val="left"/>
      </w:pPr>
      <w:r>
        <w:rPr>
          <w:rFonts w:ascii="Calibri" w:hAnsi="Calibri"/>
          <w:color w:val="1F5C8B"/>
        </w:rPr>
        <w:t>6.1 Produtos e eventograma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81"/>
        <w:gridCol w:w="1881"/>
        <w:gridCol w:w="1881"/>
        <w:gridCol w:w="1881"/>
        <w:gridCol w:w="1881"/>
      </w:tblGrid>
      <w:tr>
        <w:tc>
          <w:tcPr>
            <w:tcW w:type="dxa" w:w="1881"/>
            <w:shd w:val="clear" w:fill="1F5C8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Marco</w:t>
            </w:r>
          </w:p>
        </w:tc>
        <w:tc>
          <w:tcPr>
            <w:tcW w:type="dxa" w:w="1881"/>
            <w:shd w:val="clear" w:fill="1F5C8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Produto</w:t>
            </w:r>
          </w:p>
        </w:tc>
        <w:tc>
          <w:tcPr>
            <w:tcW w:type="dxa" w:w="1881"/>
            <w:shd w:val="clear" w:fill="1F5C8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Conteúdo</w:t>
            </w:r>
          </w:p>
        </w:tc>
        <w:tc>
          <w:tcPr>
            <w:tcW w:type="dxa" w:w="1881"/>
            <w:shd w:val="clear" w:fill="1F5C8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Prazo (a partir da OS)</w:t>
            </w:r>
          </w:p>
        </w:tc>
        <w:tc>
          <w:tcPr>
            <w:tcW w:type="dxa" w:w="1881"/>
            <w:shd w:val="clear" w:fill="1F5C8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% pagamento</w:t>
            </w:r>
          </w:p>
        </w:tc>
      </w:tr>
      <w:tr>
        <w:tc>
          <w:tcPr>
            <w:tcW w:type="dxa" w:w="1881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P0</w:t>
            </w:r>
          </w:p>
        </w:tc>
        <w:tc>
          <w:tcPr>
            <w:tcW w:type="dxa" w:w="1881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Plano de Trabalho</w:t>
            </w:r>
          </w:p>
        </w:tc>
        <w:tc>
          <w:tcPr>
            <w:tcW w:type="dxa" w:w="1881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Metodologia detalhada, cronograma, plano de mobilização, plano de qualidade</w:t>
            </w:r>
          </w:p>
        </w:tc>
        <w:tc>
          <w:tcPr>
            <w:tcW w:type="dxa" w:w="1881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30 dias</w:t>
            </w:r>
          </w:p>
        </w:tc>
        <w:tc>
          <w:tcPr>
            <w:tcW w:type="dxa" w:w="1881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5 %</w:t>
            </w:r>
          </w:p>
        </w:tc>
      </w:tr>
      <w:tr>
        <w:tc>
          <w:tcPr>
            <w:tcW w:type="dxa" w:w="1881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P1</w:t>
            </w:r>
          </w:p>
        </w:tc>
        <w:tc>
          <w:tcPr>
            <w:tcW w:type="dxa" w:w="1881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Relatório de Levantamentos (Eixo 1)</w:t>
            </w:r>
          </w:p>
        </w:tc>
        <w:tc>
          <w:tcPr>
            <w:tcW w:type="dxa" w:w="1881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Topografia, batimetria, hidrometria, cadastro, MDT/MDS, base SIG</w:t>
            </w:r>
          </w:p>
        </w:tc>
        <w:tc>
          <w:tcPr>
            <w:tcW w:type="dxa" w:w="1881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270 dias</w:t>
            </w:r>
          </w:p>
        </w:tc>
        <w:tc>
          <w:tcPr>
            <w:tcW w:type="dxa" w:w="1881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35 %</w:t>
            </w:r>
          </w:p>
        </w:tc>
      </w:tr>
      <w:tr>
        <w:tc>
          <w:tcPr>
            <w:tcW w:type="dxa" w:w="1881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P2</w:t>
            </w:r>
          </w:p>
        </w:tc>
        <w:tc>
          <w:tcPr>
            <w:tcW w:type="dxa" w:w="1881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Relatório de Modelagem (Eixo 2)</w:t>
            </w:r>
          </w:p>
        </w:tc>
        <w:tc>
          <w:tcPr>
            <w:tcW w:type="dxa" w:w="1881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Hidrologia, hidráulica, calibração, cenários climáticos, arquivos de modelo</w:t>
            </w:r>
          </w:p>
        </w:tc>
        <w:tc>
          <w:tcPr>
            <w:tcW w:type="dxa" w:w="1881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390 dias</w:t>
            </w:r>
          </w:p>
        </w:tc>
        <w:tc>
          <w:tcPr>
            <w:tcW w:type="dxa" w:w="1881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20 %</w:t>
            </w:r>
          </w:p>
        </w:tc>
      </w:tr>
      <w:tr>
        <w:tc>
          <w:tcPr>
            <w:tcW w:type="dxa" w:w="1881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P3</w:t>
            </w:r>
          </w:p>
        </w:tc>
        <w:tc>
          <w:tcPr>
            <w:tcW w:type="dxa" w:w="1881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Análise de Alternativas (Eixo 3)</w:t>
            </w:r>
          </w:p>
        </w:tc>
        <w:tc>
          <w:tcPr>
            <w:tcW w:type="dxa" w:w="1881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Mapas de risco, curvas cota-dano, CBA, alternativas</w:t>
            </w:r>
          </w:p>
        </w:tc>
        <w:tc>
          <w:tcPr>
            <w:tcW w:type="dxa" w:w="1881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540 dias</w:t>
            </w:r>
          </w:p>
        </w:tc>
        <w:tc>
          <w:tcPr>
            <w:tcW w:type="dxa" w:w="1881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20 %</w:t>
            </w:r>
          </w:p>
        </w:tc>
      </w:tr>
      <w:tr>
        <w:tc>
          <w:tcPr>
            <w:tcW w:type="dxa" w:w="1881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P4</w:t>
            </w:r>
          </w:p>
        </w:tc>
        <w:tc>
          <w:tcPr>
            <w:tcW w:type="dxa" w:w="1881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Sistema de Alerta (Eixo 4)</w:t>
            </w:r>
          </w:p>
        </w:tc>
        <w:tc>
          <w:tcPr>
            <w:tcW w:type="dxa" w:w="1881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Guia + especificações técnicas</w:t>
            </w:r>
          </w:p>
        </w:tc>
        <w:tc>
          <w:tcPr>
            <w:tcW w:type="dxa" w:w="1881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600 dias</w:t>
            </w:r>
          </w:p>
        </w:tc>
        <w:tc>
          <w:tcPr>
            <w:tcW w:type="dxa" w:w="1881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10 %</w:t>
            </w:r>
          </w:p>
        </w:tc>
      </w:tr>
      <w:tr>
        <w:tc>
          <w:tcPr>
            <w:tcW w:type="dxa" w:w="1881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P5</w:t>
            </w:r>
          </w:p>
        </w:tc>
        <w:tc>
          <w:tcPr>
            <w:tcW w:type="dxa" w:w="1881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Guia de Diretrizes (Eixo 5)</w:t>
            </w:r>
          </w:p>
        </w:tc>
        <w:tc>
          <w:tcPr>
            <w:tcW w:type="dxa" w:w="1881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Guia replicável + oficinas de capacitação</w:t>
            </w:r>
          </w:p>
        </w:tc>
        <w:tc>
          <w:tcPr>
            <w:tcW w:type="dxa" w:w="1881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630 dias</w:t>
            </w:r>
          </w:p>
        </w:tc>
        <w:tc>
          <w:tcPr>
            <w:tcW w:type="dxa" w:w="1881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10 %</w:t>
            </w:r>
          </w:p>
        </w:tc>
      </w:tr>
    </w:tbl>
    <w:p/>
    <w:p>
      <w:r>
        <w:rPr>
          <w:b/>
        </w:rPr>
        <w:t>Prazo total de execução: 21 meses (7 trimestres)</w:t>
      </w:r>
      <w:r>
        <w:t>, conforme o cronograma do Macro Logframe (AC1.1: 1T–3T; AC1.2: 3T–4T; AC2.1: 4T–6T; AC2.2 e AC3.1: 6T–7T).</w:t>
      </w:r>
    </w:p>
    <w:p>
      <w:pPr>
        <w:spacing w:before="120"/>
        <w:ind w:left="454"/>
      </w:pPr>
      <w:r>
        <w:rPr>
          <w:b/>
          <w:color w:val="444444"/>
          <w:sz w:val="19"/>
        </w:rPr>
        <w:t>[CONFIRMAR]</w:t>
      </w:r>
      <w:r>
        <w:rPr>
          <w:color w:val="444444"/>
          <w:sz w:val="19"/>
        </w:rPr>
        <w:t xml:space="preserve"> O eventograma acima é proposta. O Anexo II — Presupuesto distribui os recursos por atividade (€133.875 / 45.000 / 45.000 / 30.000 / 20.000). Caso a AECID exija correspondência estrita entre desembolso e atividade, os percentuais devem ser: P1 = 48,9%, P2 = 16,4%, P3 = 16,4%, P4 = 11,0%, P5 = 7,3%.</w:t>
      </w:r>
    </w:p>
    <w:p>
      <w:pPr>
        <w:pStyle w:val="Heading3"/>
        <w:jc w:val="left"/>
      </w:pPr>
      <w:r>
        <w:rPr>
          <w:rFonts w:ascii="Calibri" w:hAnsi="Calibri"/>
          <w:color w:val="1F5C8B"/>
        </w:rPr>
        <w:t>6.2 Divergência orçamentária a sanear</w:t>
      </w:r>
    </w:p>
    <w:p>
      <w:pPr>
        <w:spacing w:before="120"/>
        <w:ind w:left="454"/>
      </w:pPr>
      <w:r>
        <w:rPr>
          <w:b/>
          <w:color w:val="444444"/>
          <w:sz w:val="19"/>
        </w:rPr>
        <w:t>[CONFIRMAR]</w:t>
      </w:r>
      <w:r>
        <w:rPr>
          <w:color w:val="444444"/>
          <w:sz w:val="19"/>
        </w:rPr>
        <w:t xml:space="preserve"> O </w:t>
      </w:r>
      <w:r>
        <w:rPr>
          <w:i/>
          <w:color w:val="444444"/>
          <w:sz w:val="19"/>
        </w:rPr>
        <w:t>Anexo II — Presupuesto</w:t>
      </w:r>
      <w:r>
        <w:rPr>
          <w:color w:val="444444"/>
          <w:sz w:val="19"/>
        </w:rPr>
        <w:t xml:space="preserve"> registra € 273.875 em assistência técnica, com Actividad 1.1 = € 133.875. A aba </w:t>
      </w:r>
      <w:r>
        <w:rPr>
          <w:i/>
          <w:color w:val="444444"/>
          <w:sz w:val="19"/>
        </w:rPr>
        <w:t>Actividades-Español</w:t>
      </w:r>
      <w:r>
        <w:rPr>
          <w:color w:val="444444"/>
          <w:sz w:val="19"/>
        </w:rPr>
        <w:t xml:space="preserve"> do Macro Logframe registra AC1.1 = € 132.500, totalizando € 272.500. </w:t>
      </w:r>
      <w:r>
        <w:rPr>
          <w:b/>
          <w:color w:val="444444"/>
          <w:sz w:val="19"/>
        </w:rPr>
        <w:t>Divergência de € 1.375.</w:t>
      </w:r>
      <w:r>
        <w:rPr>
          <w:color w:val="444444"/>
          <w:sz w:val="19"/>
        </w:rPr>
        <w:t xml:space="preserve"> Deve-se fixar um valor único antes da publicação.</w:t>
      </w:r>
    </w:p>
    <w:p>
      <w:pPr>
        <w:pStyle w:val="Heading3"/>
        <w:jc w:val="left"/>
      </w:pPr>
      <w:r>
        <w:rPr>
          <w:rFonts w:ascii="Calibri" w:hAnsi="Calibri"/>
          <w:color w:val="1F5C8B"/>
        </w:rPr>
        <w:t>6.3 Orçamento total da ação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  <w:shd w:val="clear" w:fill="1F5C8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Rubrica</w:t>
            </w:r>
          </w:p>
        </w:tc>
        <w:tc>
          <w:tcPr>
            <w:tcW w:type="dxa" w:w="4703"/>
            <w:shd w:val="clear" w:fill="1F5C8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Valor (€)</w:t>
            </w:r>
          </w:p>
        </w:tc>
      </w:tr>
      <w:tr>
        <w:tc>
          <w:tcPr>
            <w:tcW w:type="dxa" w:w="4703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Assistências técnicas, estudos e serviços</w:t>
            </w:r>
          </w:p>
        </w:tc>
        <w:tc>
          <w:tcPr>
            <w:tcW w:type="dxa" w:w="4703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273.875</w:t>
            </w:r>
          </w:p>
        </w:tc>
      </w:tr>
      <w:tr>
        <w:tc>
          <w:tcPr>
            <w:tcW w:type="dxa" w:w="4703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Auditoria e avaliação</w:t>
            </w:r>
          </w:p>
        </w:tc>
        <w:tc>
          <w:tcPr>
            <w:tcW w:type="dxa" w:w="4703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6.500</w:t>
            </w:r>
          </w:p>
        </w:tc>
      </w:tr>
      <w:tr>
        <w:tc>
          <w:tcPr>
            <w:tcW w:type="dxa" w:w="4703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Gastos de gestão e coordenação (7%)</w:t>
            </w:r>
          </w:p>
        </w:tc>
        <w:tc>
          <w:tcPr>
            <w:tcW w:type="dxa" w:w="4703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19.625</w:t>
            </w:r>
          </w:p>
        </w:tc>
      </w:tr>
      <w:tr>
        <w:tc>
          <w:tcPr>
            <w:tcW w:type="dxa" w:w="4703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Total AECID</w:t>
            </w:r>
          </w:p>
        </w:tc>
        <w:tc>
          <w:tcPr>
            <w:tcW w:type="dxa" w:w="4703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300.000</w:t>
            </w:r>
          </w:p>
        </w:tc>
      </w:tr>
    </w:tbl>
    <w:p/>
    <w:p>
      <w:r>
        <w:t xml:space="preserve">Taxa de câmbio de referência do Logframe: </w:t>
      </w:r>
      <w:r>
        <w:rPr>
          <w:b/>
        </w:rPr>
        <w:t>€ 1,00 = R$ 5,81</w:t>
      </w:r>
      <w:r>
        <w:t xml:space="preserve"> (06/05/2026), equivalendo a </w:t>
      </w:r>
      <w:r>
        <w:rPr>
          <w:b/>
        </w:rPr>
        <w:t>R$ 1.583.225</w:t>
      </w:r>
      <w:r>
        <w:t xml:space="preserve"> em assistência técnica. </w:t>
      </w:r>
      <w:r>
        <w:rPr>
          <w:b/>
        </w:rPr>
        <w:t>[CONFIRMAR: data-base cambial e responsável pelo risco de câmbio]</w:t>
      </w:r>
    </w:p>
    <w:p>
      <w:pPr>
        <w:pStyle w:val="Heading2"/>
        <w:jc w:val="left"/>
      </w:pPr>
      <w:r>
        <w:rPr>
          <w:rFonts w:ascii="Calibri" w:hAnsi="Calibri"/>
          <w:color w:val="1F5C8B"/>
        </w:rPr>
        <w:t>7. QUALIFICAÇÃO TÉCNICA</w:t>
      </w:r>
    </w:p>
    <w:p>
      <w:pPr>
        <w:pStyle w:val="Heading3"/>
        <w:jc w:val="left"/>
      </w:pPr>
      <w:r>
        <w:rPr>
          <w:rFonts w:ascii="Calibri" w:hAnsi="Calibri"/>
          <w:color w:val="1F5C8B"/>
        </w:rPr>
        <w:t>7.1 Qualificação da empresa</w:t>
      </w:r>
    </w:p>
    <w:p>
      <w:r>
        <w:t>Comprovação, por atestados de capacidade técnica, de execução de:</w:t>
      </w:r>
    </w:p>
    <w:p>
      <w:r>
        <w:t xml:space="preserve">a) levantamento aerofotogramétrico com </w:t>
      </w:r>
      <w:r>
        <w:rPr>
          <w:b/>
        </w:rPr>
        <w:t>LiDAR</w:t>
      </w:r>
      <w:r>
        <w:t xml:space="preserve"> para geração de MDT em área mínima de 20 km²;</w:t>
      </w:r>
    </w:p>
    <w:p>
      <w:r>
        <w:t xml:space="preserve">b) levantamento </w:t>
      </w:r>
      <w:r>
        <w:rPr>
          <w:b/>
        </w:rPr>
        <w:t>batimétrico</w:t>
      </w:r>
      <w:r>
        <w:t xml:space="preserve"> em curso d'água com integração a modelo digital de terreno;</w:t>
      </w:r>
    </w:p>
    <w:p>
      <w:r>
        <w:t>c) modelagem hidráulica unidimensional (1D) de inundação em área urbana;</w:t>
      </w:r>
    </w:p>
    <w:p>
      <w:r>
        <w:t xml:space="preserve">d) </w:t>
      </w:r>
      <w:r>
        <w:rPr>
          <w:b/>
        </w:rPr>
        <w:t>análise custo-benefício</w:t>
      </w:r>
      <w:r>
        <w:t xml:space="preserve"> aplicada a alternativas de redução de risco de desastres ou infraestrutura hídrica.</w:t>
      </w:r>
    </w:p>
    <w:p>
      <w:pPr>
        <w:pStyle w:val="Heading3"/>
        <w:jc w:val="left"/>
      </w:pPr>
      <w:r>
        <w:rPr>
          <w:rFonts w:ascii="Calibri" w:hAnsi="Calibri"/>
          <w:color w:val="1F5C8B"/>
        </w:rPr>
        <w:t>7.2 Equipe técnica mínima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val="clear" w:fill="1F5C8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Função</w:t>
            </w:r>
          </w:p>
        </w:tc>
        <w:tc>
          <w:tcPr>
            <w:tcW w:type="dxa" w:w="3135"/>
            <w:shd w:val="clear" w:fill="1F5C8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Formação</w:t>
            </w:r>
          </w:p>
        </w:tc>
        <w:tc>
          <w:tcPr>
            <w:tcW w:type="dxa" w:w="3135"/>
            <w:shd w:val="clear" w:fill="1F5C8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Experiência mínima</w:t>
            </w:r>
          </w:p>
        </w:tc>
      </w:tr>
      <w:tr>
        <w:tc>
          <w:tcPr>
            <w:tcW w:type="dxa" w:w="3135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Coordenador geral</w:t>
            </w:r>
          </w:p>
        </w:tc>
        <w:tc>
          <w:tcPr>
            <w:tcW w:type="dxa" w:w="3135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Eng. Civil / Ambiental / Hídrica, com pós-graduação</w:t>
            </w:r>
          </w:p>
        </w:tc>
        <w:tc>
          <w:tcPr>
            <w:tcW w:type="dxa" w:w="3135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10 anos em projetos de recursos hídricos</w:t>
            </w:r>
          </w:p>
        </w:tc>
      </w:tr>
      <w:tr>
        <w:tc>
          <w:tcPr>
            <w:tcW w:type="dxa" w:w="3135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Especialista em hidrologia</w:t>
            </w:r>
          </w:p>
        </w:tc>
        <w:tc>
          <w:tcPr>
            <w:tcW w:type="dxa" w:w="3135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Eng. ou pós-graduação em Recursos Hídricos</w:t>
            </w:r>
          </w:p>
        </w:tc>
        <w:tc>
          <w:tcPr>
            <w:tcW w:type="dxa" w:w="3135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8 anos, com experiência em análise de frequência e modelagem chuva-vazão</w:t>
            </w:r>
          </w:p>
        </w:tc>
      </w:tr>
      <w:tr>
        <w:tc>
          <w:tcPr>
            <w:tcW w:type="dxa" w:w="3135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Especialista em modelagem hidrodinâmica</w:t>
            </w:r>
          </w:p>
        </w:tc>
        <w:tc>
          <w:tcPr>
            <w:tcW w:type="dxa" w:w="3135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idem</w:t>
            </w:r>
          </w:p>
        </w:tc>
        <w:tc>
          <w:tcPr>
            <w:tcW w:type="dxa" w:w="3135"/>
          </w:tcPr>
          <w:p>
            <w:pPr>
              <w:jc w:val="left"/>
            </w:pPr>
            <w:r>
              <w:t>8 anos, com projetos de modelagem hidráulica 1D comprovados</w:t>
            </w:r>
          </w:p>
        </w:tc>
      </w:tr>
      <w:tr>
        <w:tc>
          <w:tcPr>
            <w:tcW w:type="dxa" w:w="3135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Especialista em geoprocessamento</w:t>
            </w:r>
          </w:p>
        </w:tc>
        <w:tc>
          <w:tcPr>
            <w:tcW w:type="dxa" w:w="3135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Eng. Cartográfico / Geógrafo / afim</w:t>
            </w:r>
          </w:p>
        </w:tc>
        <w:tc>
          <w:tcPr>
            <w:tcW w:type="dxa" w:w="3135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5 anos</w:t>
            </w:r>
          </w:p>
        </w:tc>
      </w:tr>
      <w:tr>
        <w:tc>
          <w:tcPr>
            <w:tcW w:type="dxa" w:w="3135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Responsável por levantamento LiDAR/aerofotogrametria</w:t>
            </w:r>
          </w:p>
        </w:tc>
        <w:tc>
          <w:tcPr>
            <w:tcW w:type="dxa" w:w="3135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Eng. Cartográfico ou Agrimensor</w:t>
            </w:r>
          </w:p>
        </w:tc>
        <w:tc>
          <w:tcPr>
            <w:tcW w:type="dxa" w:w="3135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5 anos, com registro no CREA</w:t>
            </w:r>
          </w:p>
        </w:tc>
      </w:tr>
      <w:tr>
        <w:tc>
          <w:tcPr>
            <w:tcW w:type="dxa" w:w="3135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Responsável por batimetria</w:t>
            </w:r>
          </w:p>
        </w:tc>
        <w:tc>
          <w:tcPr>
            <w:tcW w:type="dxa" w:w="3135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Eng. ou Técnico habilitado</w:t>
            </w:r>
          </w:p>
        </w:tc>
        <w:tc>
          <w:tcPr>
            <w:tcW w:type="dxa" w:w="3135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5 anos</w:t>
            </w:r>
          </w:p>
        </w:tc>
      </w:tr>
      <w:tr>
        <w:tc>
          <w:tcPr>
            <w:tcW w:type="dxa" w:w="3135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Especialista em economia / avaliação de projetos</w:t>
            </w:r>
          </w:p>
        </w:tc>
        <w:tc>
          <w:tcPr>
            <w:tcW w:type="dxa" w:w="3135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Economia / Eng. de Produção / afim</w:t>
            </w:r>
          </w:p>
        </w:tc>
        <w:tc>
          <w:tcPr>
            <w:tcW w:type="dxa" w:w="3135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5 anos em CBA de infraestrutura</w:t>
            </w:r>
          </w:p>
        </w:tc>
      </w:tr>
      <w:tr>
        <w:tc>
          <w:tcPr>
            <w:tcW w:type="dxa" w:w="3135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Especialista em gestão de risco de desastres</w:t>
            </w:r>
          </w:p>
        </w:tc>
        <w:tc>
          <w:tcPr>
            <w:tcW w:type="dxa" w:w="3135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formação superior</w:t>
            </w:r>
          </w:p>
        </w:tc>
        <w:tc>
          <w:tcPr>
            <w:tcW w:type="dxa" w:w="3135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5 anos</w:t>
            </w:r>
          </w:p>
        </w:tc>
      </w:tr>
    </w:tbl>
    <w:p/>
    <w:p>
      <w:r>
        <w:rPr>
          <w:b/>
        </w:rPr>
        <w:t>[CONFIRMAR: exigência de piloto de RPAS certificado ANAC e de ART/RRT por especialidade]</w:t>
      </w:r>
    </w:p>
    <w:p>
      <w:pPr>
        <w:pStyle w:val="Heading2"/>
        <w:jc w:val="left"/>
      </w:pPr>
      <w:r>
        <w:rPr>
          <w:rFonts w:ascii="Calibri" w:hAnsi="Calibri"/>
          <w:color w:val="1F5C8B"/>
        </w:rPr>
        <w:t>8. GESTÃO, FISCALIZAÇÃO E ACEITAÇÃO</w:t>
      </w:r>
    </w:p>
    <w:p>
      <w:pPr>
        <w:pStyle w:val="Heading3"/>
        <w:jc w:val="left"/>
      </w:pPr>
      <w:r>
        <w:rPr>
          <w:rFonts w:ascii="Calibri" w:hAnsi="Calibri"/>
          <w:color w:val="1F5C8B"/>
        </w:rPr>
        <w:t>8.1 Governança do contrato</w:t>
      </w:r>
    </w:p>
    <w:p>
      <w:pPr>
        <w:pStyle w:val="ListBullet"/>
      </w:pPr>
      <w:r>
        <w:rPr>
          <w:b/>
        </w:rPr>
        <w:t>Gestor do contrato:</w:t>
      </w:r>
      <w:r>
        <w:t xml:space="preserve"> Cássio Guilherme Rampinelli — SEDEC/MIDR.</w:t>
      </w:r>
    </w:p>
    <w:p>
      <w:pPr>
        <w:pStyle w:val="ListBullet"/>
      </w:pPr>
      <w:r>
        <w:rPr>
          <w:b/>
        </w:rPr>
        <w:t>Comissão de fiscalização:</w:t>
      </w:r>
      <w:r>
        <w:t xml:space="preserve"> a designar, com representação da SEDEC, do município de Estrela e da AECID. </w:t>
      </w:r>
      <w:r>
        <w:rPr>
          <w:b/>
        </w:rPr>
        <w:t>[CONFIRMAR composição]</w:t>
      </w:r>
    </w:p>
    <w:p>
      <w:pPr>
        <w:pStyle w:val="ListBullet"/>
      </w:pPr>
      <w:r>
        <w:rPr>
          <w:b/>
        </w:rPr>
        <w:t>Comitê técnico consultivo:</w:t>
      </w:r>
      <w:r>
        <w:t xml:space="preserve"> representantes das três frentes do EUROCLIMA+, do Comitê de Bacia Taquari-Antas, da Defesa Civil do RS e do SGB/CPRM. </w:t>
      </w:r>
      <w:r>
        <w:rPr>
          <w:b/>
        </w:rPr>
        <w:t>[CONFIRMAR]</w:t>
      </w:r>
    </w:p>
    <w:p>
      <w:pPr>
        <w:pStyle w:val="Heading3"/>
        <w:jc w:val="left"/>
      </w:pPr>
      <w:r>
        <w:rPr>
          <w:rFonts w:ascii="Calibri" w:hAnsi="Calibri"/>
          <w:color w:val="1F5C8B"/>
        </w:rPr>
        <w:t>8.2 Eventos de comunicação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val="clear" w:fill="1F5C8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Evento</w:t>
            </w:r>
          </w:p>
        </w:tc>
        <w:tc>
          <w:tcPr>
            <w:tcW w:type="dxa" w:w="3135"/>
            <w:shd w:val="clear" w:fill="1F5C8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Periodicidade</w:t>
            </w:r>
          </w:p>
        </w:tc>
        <w:tc>
          <w:tcPr>
            <w:tcW w:type="dxa" w:w="3135"/>
            <w:shd w:val="clear" w:fill="1F5C8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Formato</w:t>
            </w:r>
          </w:p>
        </w:tc>
      </w:tr>
      <w:tr>
        <w:tc>
          <w:tcPr>
            <w:tcW w:type="dxa" w:w="3135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Reunião de partida (</w:t>
            </w:r>
            <w:r>
              <w:rPr>
                <w:i/>
                <w:sz w:val="18"/>
              </w:rPr>
              <w:t>kick-off</w:t>
            </w:r>
            <w:r>
              <w:rPr>
                <w:sz w:val="18"/>
              </w:rPr>
              <w:t>)</w:t>
            </w:r>
          </w:p>
        </w:tc>
        <w:tc>
          <w:tcPr>
            <w:tcW w:type="dxa" w:w="3135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única, até 15 dias após a OS</w:t>
            </w:r>
          </w:p>
        </w:tc>
        <w:tc>
          <w:tcPr>
            <w:tcW w:type="dxa" w:w="3135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presencial em Estrela</w:t>
            </w:r>
          </w:p>
        </w:tc>
      </w:tr>
      <w:tr>
        <w:tc>
          <w:tcPr>
            <w:tcW w:type="dxa" w:w="3135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Reuniões técnicas ordinárias (RTO)</w:t>
            </w:r>
          </w:p>
        </w:tc>
        <w:tc>
          <w:tcPr>
            <w:tcW w:type="dxa" w:w="3135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quinzenal</w:t>
            </w:r>
          </w:p>
        </w:tc>
        <w:tc>
          <w:tcPr>
            <w:tcW w:type="dxa" w:w="3135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videoconferência</w:t>
            </w:r>
          </w:p>
        </w:tc>
      </w:tr>
      <w:tr>
        <w:tc>
          <w:tcPr>
            <w:tcW w:type="dxa" w:w="3135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Reuniões de apresentação de produtos (RAP)</w:t>
            </w:r>
          </w:p>
        </w:tc>
        <w:tc>
          <w:tcPr>
            <w:tcW w:type="dxa" w:w="3135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a cada marco (P0 a P5)</w:t>
            </w:r>
          </w:p>
        </w:tc>
        <w:tc>
          <w:tcPr>
            <w:tcW w:type="dxa" w:w="3135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videoconferência ou presencial</w:t>
            </w:r>
          </w:p>
        </w:tc>
      </w:tr>
      <w:tr>
        <w:tc>
          <w:tcPr>
            <w:tcW w:type="dxa" w:w="3135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Reuniões de articulação entre frentes</w:t>
            </w:r>
          </w:p>
        </w:tc>
        <w:tc>
          <w:tcPr>
            <w:tcW w:type="dxa" w:w="3135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mínimo 3 ao longo do contrato</w:t>
            </w:r>
          </w:p>
        </w:tc>
        <w:tc>
          <w:tcPr>
            <w:tcW w:type="dxa" w:w="3135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videoconferência</w:t>
            </w:r>
          </w:p>
        </w:tc>
      </w:tr>
      <w:tr>
        <w:tc>
          <w:tcPr>
            <w:tcW w:type="dxa" w:w="3135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Oficinas de capacitação</w:t>
            </w:r>
          </w:p>
        </w:tc>
        <w:tc>
          <w:tcPr>
            <w:tcW w:type="dxa" w:w="3135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2, no Eixo 5</w:t>
            </w:r>
          </w:p>
        </w:tc>
        <w:tc>
          <w:tcPr>
            <w:tcW w:type="dxa" w:w="3135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presencial em Estrela</w:t>
            </w:r>
          </w:p>
        </w:tc>
      </w:tr>
    </w:tbl>
    <w:p/>
    <w:p>
      <w:pPr>
        <w:pStyle w:val="Heading3"/>
        <w:jc w:val="left"/>
      </w:pPr>
      <w:r>
        <w:rPr>
          <w:rFonts w:ascii="Calibri" w:hAnsi="Calibri"/>
          <w:color w:val="1F5C8B"/>
        </w:rPr>
        <w:t>8.3 Critérios de aceitação</w:t>
      </w:r>
    </w:p>
    <w:p>
      <w:r>
        <w:t xml:space="preserve">A CONTRATADA submeterá cada produto à análise da fiscalização, que se manifestará em até </w:t>
      </w:r>
      <w:r>
        <w:rPr>
          <w:b/>
        </w:rPr>
        <w:t>15 dias úteis</w:t>
      </w:r>
      <w:r>
        <w:t xml:space="preserve">, justificando tecnicamente eventuais alterações. A CONTRATADA terá até </w:t>
      </w:r>
      <w:r>
        <w:rPr>
          <w:b/>
        </w:rPr>
        <w:t>15 dias úteis</w:t>
      </w:r>
      <w:r>
        <w:t xml:space="preserve"> para atender às observações. A aceitação será formalizada por </w:t>
      </w:r>
      <w:r>
        <w:rPr>
          <w:b/>
        </w:rPr>
        <w:t>Parecer Técnico de Aprovação (PTA)</w:t>
      </w:r>
      <w:r>
        <w:t>, condição para o pagamento do marco correspondente.</w:t>
      </w:r>
    </w:p>
    <w:p>
      <w:r>
        <w:rPr>
          <w:b/>
        </w:rPr>
        <w:t>Critérios objetivos de aceitação: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  <w:shd w:val="clear" w:fill="1F5C8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Produto</w:t>
            </w:r>
          </w:p>
        </w:tc>
        <w:tc>
          <w:tcPr>
            <w:tcW w:type="dxa" w:w="4703"/>
            <w:shd w:val="clear" w:fill="1F5C8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Critério verificável</w:t>
            </w:r>
          </w:p>
        </w:tc>
      </w:tr>
      <w:tr>
        <w:tc>
          <w:tcPr>
            <w:tcW w:type="dxa" w:w="4703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P1</w:t>
            </w:r>
          </w:p>
        </w:tc>
        <w:tc>
          <w:tcPr>
            <w:tcW w:type="dxa" w:w="4703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RMSE vertical do MDT ≤ 5 cm em pontos de controle independentes; densidade LiDAR ≥ 20 pts/m²; continuidade terreno–leito sem degrau &gt; 10 cm</w:t>
            </w:r>
          </w:p>
        </w:tc>
      </w:tr>
      <w:tr>
        <w:tc>
          <w:tcPr>
            <w:tcW w:type="dxa" w:w="4703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P2</w:t>
            </w:r>
          </w:p>
        </w:tc>
        <w:tc>
          <w:tcPr>
            <w:tcW w:type="dxa" w:w="4703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 xml:space="preserve">Nash-Sutcliffe ≥ 0,75 na calibração; erro de pico ≤ 10%; </w:t>
            </w:r>
            <w:r>
              <w:rPr>
                <w:i/>
                <w:sz w:val="18"/>
              </w:rPr>
              <w:t>Critical Success Index</w:t>
            </w:r>
            <w:r>
              <w:rPr>
                <w:sz w:val="18"/>
              </w:rPr>
              <w:t xml:space="preserve"> da mancha ≥ 0,7 contra o evento de 2024</w:t>
            </w:r>
          </w:p>
        </w:tc>
      </w:tr>
      <w:tr>
        <w:tc>
          <w:tcPr>
            <w:tcW w:type="dxa" w:w="4703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P3</w:t>
            </w:r>
          </w:p>
        </w:tc>
        <w:tc>
          <w:tcPr>
            <w:tcW w:type="dxa" w:w="4703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CBA com sensibilidade a taxa de desconto e a custos; alternativas com barragem reportando os itens do § 3.6</w:t>
            </w:r>
          </w:p>
        </w:tc>
      </w:tr>
      <w:tr>
        <w:tc>
          <w:tcPr>
            <w:tcW w:type="dxa" w:w="4703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P4</w:t>
            </w:r>
          </w:p>
        </w:tc>
        <w:tc>
          <w:tcPr>
            <w:tcW w:type="dxa" w:w="4703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Especificações em nível licitável; protocolos de integração validados junto a CEMADEN e Defesa Civil do RS</w:t>
            </w:r>
          </w:p>
        </w:tc>
      </w:tr>
      <w:tr>
        <w:tc>
          <w:tcPr>
            <w:tcW w:type="dxa" w:w="4703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P5</w:t>
            </w:r>
          </w:p>
        </w:tc>
        <w:tc>
          <w:tcPr>
            <w:tcW w:type="dxa" w:w="4703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Guia validado em oficina com a Defesa Civil municipal</w:t>
            </w:r>
          </w:p>
        </w:tc>
      </w:tr>
    </w:tbl>
    <w:p/>
    <w:p>
      <w:pPr>
        <w:pStyle w:val="Heading3"/>
        <w:jc w:val="left"/>
      </w:pPr>
      <w:r>
        <w:rPr>
          <w:rFonts w:ascii="Calibri" w:hAnsi="Calibri"/>
          <w:color w:val="1F5C8B"/>
        </w:rPr>
        <w:t>8.4 Padronização e propriedade</w:t>
      </w:r>
    </w:p>
    <w:p>
      <w:pPr>
        <w:pStyle w:val="ListBullet"/>
      </w:pPr>
      <w:r>
        <w:t xml:space="preserve">Documentos em </w:t>
      </w:r>
      <w:r>
        <w:rPr>
          <w:b/>
        </w:rPr>
        <w:t>português</w:t>
      </w:r>
      <w:r>
        <w:t xml:space="preserve">, em formato editável e PDF. Resumos executivos dos produtos P1, P3 e P5 também em </w:t>
      </w:r>
      <w:r>
        <w:rPr>
          <w:b/>
        </w:rPr>
        <w:t>espanhol e inglês</w:t>
      </w:r>
      <w:r>
        <w:t>.</w:t>
      </w:r>
    </w:p>
    <w:p>
      <w:pPr>
        <w:pStyle w:val="ListBullet"/>
      </w:pPr>
      <w:r>
        <w:t xml:space="preserve">Dados geoespaciais em </w:t>
      </w:r>
      <w:r>
        <w:rPr>
          <w:b/>
        </w:rPr>
        <w:t>GeoPackage</w:t>
      </w:r>
      <w:r>
        <w:t xml:space="preserve"> ou GeoTIFF, EPSG:31982, com metadados no perfil </w:t>
      </w:r>
      <w:r>
        <w:rPr>
          <w:b/>
        </w:rPr>
        <w:t>MGB/INDE</w:t>
      </w:r>
      <w:r>
        <w:t>.</w:t>
      </w:r>
    </w:p>
    <w:p>
      <w:pPr>
        <w:pStyle w:val="ListBullet"/>
      </w:pPr>
      <w:r>
        <w:rPr>
          <w:b/>
        </w:rPr>
        <w:t>Arquivos nativos de modelagem</w:t>
      </w:r>
      <w:r>
        <w:t xml:space="preserve"> (HEC-RAS, HEC-HMS, ou equivalente) entregues completos e executáveis.</w:t>
      </w:r>
    </w:p>
    <w:p>
      <w:pPr>
        <w:pStyle w:val="ListBullet"/>
      </w:pPr>
      <w:r>
        <w:t xml:space="preserve">Todos os produtos, dados e códigos são de </w:t>
      </w:r>
      <w:r>
        <w:rPr>
          <w:b/>
        </w:rPr>
        <w:t>propriedade da CONTRATANTE</w:t>
      </w:r>
      <w:r>
        <w:t>, licenciados para publicação aberta, observadas as normas de visibilidade do EUROCLIMA+ e da União Europeia.</w:t>
      </w:r>
    </w:p>
    <w:p>
      <w:pPr>
        <w:pStyle w:val="Heading3"/>
        <w:jc w:val="left"/>
      </w:pPr>
      <w:r>
        <w:rPr>
          <w:rFonts w:ascii="Calibri" w:hAnsi="Calibri"/>
          <w:color w:val="1F5C8B"/>
        </w:rPr>
        <w:t>8.5 Visibilidade</w:t>
      </w:r>
    </w:p>
    <w:p>
      <w:r>
        <w:t xml:space="preserve">Todos os produtos deverão ostentar as marcas do </w:t>
      </w:r>
      <w:r>
        <w:rPr>
          <w:b/>
        </w:rPr>
        <w:t>EUROCLIMA+</w:t>
      </w:r>
      <w:r>
        <w:t xml:space="preserve">, </w:t>
      </w:r>
      <w:r>
        <w:rPr>
          <w:b/>
        </w:rPr>
        <w:t>União Europeia / Global Gateway</w:t>
      </w:r>
      <w:r>
        <w:t xml:space="preserve">, </w:t>
      </w:r>
      <w:r>
        <w:rPr>
          <w:b/>
        </w:rPr>
        <w:t>AECID</w:t>
      </w:r>
      <w:r>
        <w:t xml:space="preserve">, </w:t>
      </w:r>
      <w:r>
        <w:rPr>
          <w:b/>
        </w:rPr>
        <w:t>MIDR/SEDEC</w:t>
      </w:r>
      <w:r>
        <w:t xml:space="preserve"> e do município de Estrela, conforme manual de identidade visual do programa.</w:t>
      </w:r>
    </w:p>
    <w:p>
      <w:pPr>
        <w:pStyle w:val="Heading2"/>
        <w:jc w:val="left"/>
      </w:pPr>
      <w:r>
        <w:rPr>
          <w:rFonts w:ascii="Calibri" w:hAnsi="Calibri"/>
          <w:color w:val="1F5C8B"/>
        </w:rPr>
        <w:t>9. ANEXOS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  <w:shd w:val="clear" w:fill="1F5C8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Anexo</w:t>
            </w:r>
          </w:p>
        </w:tc>
        <w:tc>
          <w:tcPr>
            <w:tcW w:type="dxa" w:w="4703"/>
            <w:shd w:val="clear" w:fill="1F5C8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Conteúdo</w:t>
            </w:r>
          </w:p>
        </w:tc>
      </w:tr>
      <w:tr>
        <w:tc>
          <w:tcPr>
            <w:tcW w:type="dxa" w:w="4703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I</w:t>
            </w:r>
          </w:p>
        </w:tc>
        <w:tc>
          <w:tcPr>
            <w:tcW w:type="dxa" w:w="4703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Mapa de localização e área de estudo</w:t>
            </w:r>
          </w:p>
        </w:tc>
      </w:tr>
      <w:tr>
        <w:tc>
          <w:tcPr>
            <w:tcW w:type="dxa" w:w="4703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II</w:t>
            </w:r>
          </w:p>
        </w:tc>
        <w:tc>
          <w:tcPr>
            <w:tcW w:type="dxa" w:w="4703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Cronograma detalhado</w:t>
            </w:r>
          </w:p>
        </w:tc>
      </w:tr>
      <w:tr>
        <w:tc>
          <w:tcPr>
            <w:tcW w:type="dxa" w:w="4703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III</w:t>
            </w:r>
          </w:p>
        </w:tc>
        <w:tc>
          <w:tcPr>
            <w:tcW w:type="dxa" w:w="4703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Macro Logframe da Ação (versão 20/07/2027)</w:t>
            </w:r>
          </w:p>
        </w:tc>
      </w:tr>
      <w:tr>
        <w:tc>
          <w:tcPr>
            <w:tcW w:type="dxa" w:w="4703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IV</w:t>
            </w:r>
          </w:p>
        </w:tc>
        <w:tc>
          <w:tcPr>
            <w:tcW w:type="dxa" w:w="4703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Anexo II — Presupuesto</w:t>
            </w:r>
          </w:p>
        </w:tc>
      </w:tr>
      <w:tr>
        <w:tc>
          <w:tcPr>
            <w:tcW w:type="dxa" w:w="4703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V</w:t>
            </w:r>
          </w:p>
        </w:tc>
        <w:tc>
          <w:tcPr>
            <w:tcW w:type="dxa" w:w="4703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Base geoespacial de referência (GeoPackage) — limites, trecho de modelagem, polígonos de levantamento</w:t>
            </w:r>
          </w:p>
        </w:tc>
      </w:tr>
      <w:tr>
        <w:tc>
          <w:tcPr>
            <w:tcW w:type="dxa" w:w="4703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VI</w:t>
            </w:r>
          </w:p>
        </w:tc>
        <w:tc>
          <w:tcPr>
            <w:tcW w:type="dxa" w:w="4703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Lista de documentos e padronização de codificação</w:t>
            </w:r>
          </w:p>
        </w:tc>
      </w:tr>
      <w:tr>
        <w:tc>
          <w:tcPr>
            <w:tcW w:type="dxa" w:w="4703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VII</w:t>
            </w:r>
          </w:p>
        </w:tc>
        <w:tc>
          <w:tcPr>
            <w:tcW w:type="dxa" w:w="4703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Nota Técnica Preliminar — Potencial de barragens de montante</w:t>
            </w:r>
          </w:p>
        </w:tc>
      </w:tr>
      <w:tr>
        <w:tc>
          <w:tcPr>
            <w:tcW w:type="dxa" w:w="4703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VIII</w:t>
            </w:r>
          </w:p>
        </w:tc>
        <w:tc>
          <w:tcPr>
            <w:tcW w:type="dxa" w:w="4703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Ficha de Formulação da Ação</w:t>
            </w:r>
          </w:p>
        </w:tc>
      </w:tr>
    </w:tbl>
    <w:p/>
    <w:p/>
    <w:p>
      <w:pPr>
        <w:pStyle w:val="Heading2"/>
        <w:jc w:val="left"/>
      </w:pPr>
      <w:r>
        <w:rPr>
          <w:rFonts w:ascii="Calibri" w:hAnsi="Calibri"/>
          <w:color w:val="1F5C8B"/>
        </w:rPr>
        <w:t>APÊNDICE — Pontos abertos para decisão do gestor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val="clear" w:fill="1F5C8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type="dxa" w:w="3135"/>
            <w:shd w:val="clear" w:fill="1F5C8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Ponto</w:t>
            </w:r>
          </w:p>
        </w:tc>
        <w:tc>
          <w:tcPr>
            <w:tcW w:type="dxa" w:w="3135"/>
            <w:shd w:val="clear" w:fill="1F5C8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Impacto</w:t>
            </w:r>
          </w:p>
        </w:tc>
      </w:tr>
      <w:tr>
        <w:tc>
          <w:tcPr>
            <w:tcW w:type="dxa" w:w="3135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1</w:t>
            </w:r>
          </w:p>
        </w:tc>
        <w:tc>
          <w:tcPr>
            <w:tcW w:type="dxa" w:w="3135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Extensão do trecho de modelagem: 40 km (descritivo) ou 51,7 km (GIS)</w:t>
            </w:r>
          </w:p>
        </w:tc>
        <w:tc>
          <w:tcPr>
            <w:tcW w:type="dxa" w:w="3135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Preço do Eixo 2</w:t>
            </w:r>
          </w:p>
        </w:tc>
      </w:tr>
      <w:tr>
        <w:tc>
          <w:tcPr>
            <w:tcW w:type="dxa" w:w="3135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2</w:t>
            </w:r>
          </w:p>
        </w:tc>
        <w:tc>
          <w:tcPr>
            <w:tcW w:type="dxa" w:w="3135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Sub-trecho refinado: 10 km (descritivo) ou 35,9 km (GIS)</w:t>
            </w:r>
          </w:p>
        </w:tc>
        <w:tc>
          <w:tcPr>
            <w:tcW w:type="dxa" w:w="3135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Preço dos Eixos 1 e 2</w:t>
            </w:r>
          </w:p>
        </w:tc>
      </w:tr>
      <w:tr>
        <w:tc>
          <w:tcPr>
            <w:tcW w:type="dxa" w:w="3135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3</w:t>
            </w:r>
          </w:p>
        </w:tc>
        <w:tc>
          <w:tcPr>
            <w:tcW w:type="dxa" w:w="3135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Área do voo LiDAR: 16 km² (descritivo) ou 24,2 / 48,2 / 139,4 km² (GIS)</w:t>
            </w:r>
          </w:p>
        </w:tc>
        <w:tc>
          <w:tcPr>
            <w:tcW w:type="dxa" w:w="3135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Maior impacto de preço do contrato</w:t>
            </w:r>
          </w:p>
        </w:tc>
      </w:tr>
      <w:tr>
        <w:tc>
          <w:tcPr>
            <w:tcW w:type="dxa" w:w="3135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4</w:t>
            </w:r>
          </w:p>
        </w:tc>
        <w:tc>
          <w:tcPr>
            <w:tcW w:type="dxa" w:w="3135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Divergência de € 1.375 entre Presupuesto e Logframe</w:t>
            </w:r>
          </w:p>
        </w:tc>
        <w:tc>
          <w:tcPr>
            <w:tcW w:type="dxa" w:w="3135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Conformidade financeira</w:t>
            </w:r>
          </w:p>
        </w:tc>
      </w:tr>
      <w:tr>
        <w:tc>
          <w:tcPr>
            <w:tcW w:type="dxa" w:w="3135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5</w:t>
            </w:r>
          </w:p>
        </w:tc>
        <w:tc>
          <w:tcPr>
            <w:tcW w:type="dxa" w:w="3135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Eventograma: proposto (5/35/20/20/10/10) ou proporcional ao Presupuesto</w:t>
            </w:r>
          </w:p>
        </w:tc>
        <w:tc>
          <w:tcPr>
            <w:tcW w:type="dxa" w:w="3135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Fluxo de caixa</w:t>
            </w:r>
          </w:p>
        </w:tc>
      </w:tr>
      <w:tr>
        <w:tc>
          <w:tcPr>
            <w:tcW w:type="dxa" w:w="3135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6</w:t>
            </w:r>
          </w:p>
        </w:tc>
        <w:tc>
          <w:tcPr>
            <w:tcW w:type="dxa" w:w="3135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Composição da comissão de fiscalização e do comitê consultivo</w:t>
            </w:r>
          </w:p>
        </w:tc>
        <w:tc>
          <w:tcPr>
            <w:tcW w:type="dxa" w:w="3135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Governança</w:t>
            </w:r>
          </w:p>
        </w:tc>
      </w:tr>
      <w:tr>
        <w:tc>
          <w:tcPr>
            <w:tcW w:type="dxa" w:w="3135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7</w:t>
            </w:r>
          </w:p>
        </w:tc>
        <w:tc>
          <w:tcPr>
            <w:tcW w:type="dxa" w:w="3135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Responsável pelo risco cambial (€ → R$)</w:t>
            </w:r>
          </w:p>
        </w:tc>
        <w:tc>
          <w:tcPr>
            <w:tcW w:type="dxa" w:w="3135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Risco contratual</w:t>
            </w:r>
          </w:p>
        </w:tc>
      </w:tr>
      <w:tr>
        <w:tc>
          <w:tcPr>
            <w:tcW w:type="dxa" w:w="3135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8</w:t>
            </w:r>
          </w:p>
        </w:tc>
        <w:tc>
          <w:tcPr>
            <w:tcW w:type="dxa" w:w="3135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Exigência de ART/RRT por especialidade e de piloto RPAS certificado</w:t>
            </w:r>
          </w:p>
        </w:tc>
        <w:tc>
          <w:tcPr>
            <w:tcW w:type="dxa" w:w="3135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Habilitação</w:t>
            </w:r>
          </w:p>
        </w:tc>
      </w:tr>
      <w:tr>
        <w:tc>
          <w:tcPr>
            <w:tcW w:type="dxa" w:w="3135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9</w:t>
            </w:r>
          </w:p>
        </w:tc>
        <w:tc>
          <w:tcPr>
            <w:tcW w:type="dxa" w:w="3135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Idiomas dos produtos (resumos em ES/EN — quais produtos)</w:t>
            </w:r>
          </w:p>
        </w:tc>
        <w:tc>
          <w:tcPr>
            <w:tcW w:type="dxa" w:w="3135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Custo de tradução</w:t>
            </w:r>
          </w:p>
        </w:tc>
      </w:tr>
      <w:tr>
        <w:tc>
          <w:tcPr>
            <w:tcW w:type="dxa" w:w="3135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10</w:t>
            </w:r>
          </w:p>
        </w:tc>
        <w:tc>
          <w:tcPr>
            <w:tcW w:type="dxa" w:w="3135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Número mínimo de reuniões de articulação entre as três frentes</w:t>
            </w:r>
          </w:p>
        </w:tc>
        <w:tc>
          <w:tcPr>
            <w:tcW w:type="dxa" w:w="3135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sz w:val="18"/>
              </w:rPr>
              <w:t>Coordenação</w:t>
            </w:r>
          </w:p>
        </w:tc>
      </w:tr>
    </w:tbl>
    <w:p/>
    <w:sectPr w:rsidR="00FC693F" w:rsidRPr="0006063C" w:rsidSect="00034616"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  <w:jc w:val="both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